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32E5BB2B" w:rsidR="00FB1105" w:rsidRDefault="00F10CEF" w:rsidP="001F021E">
      <w:pPr>
        <w:pStyle w:val="Heading1"/>
        <w:rPr>
          <w:rFonts w:hint="eastAsia"/>
        </w:rPr>
      </w:pPr>
      <w:r>
        <w:t>4.1 Recadrage</w:t>
      </w:r>
    </w:p>
    <w:p w14:paraId="522D1ED1" w14:textId="2DA932F1" w:rsidR="00305A43" w:rsidRDefault="00F10CEF" w:rsidP="00603567">
      <w:pPr>
        <w:pStyle w:val="Heading2"/>
      </w:pPr>
      <w:r>
        <w:t>Exercice de documentation 0</w:t>
      </w:r>
      <w:r w:rsidR="00664BE1">
        <w:t>3</w:t>
      </w:r>
    </w:p>
    <w:p w14:paraId="3290CE75" w14:textId="77777777" w:rsidR="00462866" w:rsidRDefault="00462866" w:rsidP="00462866">
      <w:pPr>
        <w:rPr>
          <w:rFonts w:eastAsia="Times"/>
        </w:rPr>
      </w:pPr>
    </w:p>
    <w:p w14:paraId="136FC437" w14:textId="77777777" w:rsidR="004B4495" w:rsidRDefault="004B4495" w:rsidP="003D4E08">
      <w:pPr>
        <w:rPr>
          <w:rFonts w:ascii="Arial" w:hAnsi="Arial" w:cs="Arial"/>
        </w:rPr>
      </w:pPr>
    </w:p>
    <w:p w14:paraId="70496975" w14:textId="77777777" w:rsidR="002510B4" w:rsidRPr="00F77902" w:rsidRDefault="002510B4" w:rsidP="002510B4">
      <w:pPr>
        <w:rPr>
          <w:rFonts w:ascii="Arial" w:hAnsi="Arial" w:cs="Arial"/>
        </w:rPr>
      </w:pPr>
    </w:p>
    <w:p w14:paraId="4B5F9ECC" w14:textId="77777777" w:rsidR="002510B4" w:rsidRPr="005F1E9D" w:rsidRDefault="002510B4" w:rsidP="002510B4">
      <w:pPr>
        <w:pStyle w:val="Heading3"/>
      </w:pPr>
      <w:r>
        <w:t>R</w:t>
      </w:r>
      <w:r w:rsidRPr="005F1E9D">
        <w:t xml:space="preserve">echerche </w:t>
      </w:r>
      <w:r>
        <w:t>l</w:t>
      </w:r>
      <w:r w:rsidRPr="005F1E9D">
        <w:t xml:space="preserve">es œuvres suivantes en prenant soin de bien écrire le nom de l’artiste, de l’œuvre </w:t>
      </w:r>
      <w:r>
        <w:t xml:space="preserve">ainsi que </w:t>
      </w:r>
      <w:r w:rsidRPr="005F1E9D">
        <w:t xml:space="preserve">la date. </w:t>
      </w:r>
    </w:p>
    <w:p w14:paraId="2E5BC42A" w14:textId="77777777" w:rsidR="002510B4" w:rsidRDefault="002510B4" w:rsidP="002510B4">
      <w:pPr>
        <w:rPr>
          <w:rFonts w:ascii="Arial" w:hAnsi="Arial" w:cs="Arial"/>
        </w:rPr>
      </w:pPr>
    </w:p>
    <w:p w14:paraId="194ADA06" w14:textId="77777777" w:rsidR="006A5C01" w:rsidRDefault="006A5C01" w:rsidP="002510B4">
      <w:pPr>
        <w:rPr>
          <w:rFonts w:ascii="Arial" w:hAnsi="Arial" w:cs="Arial"/>
        </w:rPr>
      </w:pPr>
    </w:p>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551"/>
        <w:gridCol w:w="3447"/>
      </w:tblGrid>
      <w:tr w:rsidR="00197B97" w:rsidRPr="00B51BF0" w14:paraId="7B0E53BD" w14:textId="77777777" w:rsidTr="006D29BF">
        <w:trPr>
          <w:trHeight w:val="597"/>
        </w:trPr>
        <w:tc>
          <w:tcPr>
            <w:tcW w:w="3256" w:type="dxa"/>
            <w:shd w:val="clear" w:color="auto" w:fill="auto"/>
          </w:tcPr>
          <w:p w14:paraId="24B47254" w14:textId="77777777" w:rsidR="00197B97" w:rsidRPr="00B51BF0" w:rsidRDefault="00197B97" w:rsidP="006D29BF">
            <w:pPr>
              <w:pStyle w:val="Heading3"/>
            </w:pPr>
            <w:r w:rsidRPr="00B51BF0">
              <w:t>Images des œuvres à insérer</w:t>
            </w:r>
          </w:p>
        </w:tc>
        <w:tc>
          <w:tcPr>
            <w:tcW w:w="2551" w:type="dxa"/>
            <w:shd w:val="clear" w:color="auto" w:fill="auto"/>
          </w:tcPr>
          <w:p w14:paraId="3992D496" w14:textId="77777777" w:rsidR="00197B97" w:rsidRPr="00B51BF0" w:rsidRDefault="00197B97" w:rsidP="006D29BF">
            <w:pPr>
              <w:pStyle w:val="Heading3"/>
            </w:pPr>
            <w:r w:rsidRPr="00B51BF0">
              <w:t>Titres des œuvres à chercher</w:t>
            </w:r>
          </w:p>
        </w:tc>
        <w:tc>
          <w:tcPr>
            <w:tcW w:w="3447" w:type="dxa"/>
            <w:shd w:val="clear" w:color="auto" w:fill="auto"/>
          </w:tcPr>
          <w:p w14:paraId="50F250B0" w14:textId="77777777" w:rsidR="00197B97" w:rsidRPr="00B51BF0" w:rsidRDefault="00197B97" w:rsidP="006D29BF">
            <w:pPr>
              <w:pStyle w:val="Heading3"/>
            </w:pPr>
            <w:r w:rsidRPr="00B51BF0">
              <w:t>Description de l’œuvre et de la démarche de l’artiste</w:t>
            </w:r>
          </w:p>
        </w:tc>
      </w:tr>
      <w:tr w:rsidR="006D29BF" w:rsidRPr="006D29BF" w14:paraId="797AF9A4" w14:textId="77777777" w:rsidTr="006D29BF">
        <w:trPr>
          <w:trHeight w:val="597"/>
        </w:trPr>
        <w:tc>
          <w:tcPr>
            <w:tcW w:w="3256" w:type="dxa"/>
          </w:tcPr>
          <w:p w14:paraId="6FAF77C3" w14:textId="77777777" w:rsidR="00197B97" w:rsidRPr="006D29BF" w:rsidRDefault="00197B97" w:rsidP="006D29BF">
            <w:pPr>
              <w:rPr>
                <w:color w:val="353737"/>
                <w14:textFill>
                  <w14:solidFill>
                    <w14:srgbClr w14:val="353737">
                      <w14:alpha w14:val="30000"/>
                    </w14:srgbClr>
                  </w14:solidFill>
                </w14:textFill>
              </w:rPr>
            </w:pPr>
          </w:p>
          <w:p w14:paraId="399268A7"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40C5AF67" w14:textId="77777777" w:rsidR="00197B97" w:rsidRPr="006D29BF" w:rsidRDefault="00197B97" w:rsidP="006D29BF">
            <w:pPr>
              <w:rPr>
                <w:color w:val="353737"/>
                <w:lang w:val="en-CA"/>
                <w14:textFill>
                  <w14:solidFill>
                    <w14:srgbClr w14:val="353737">
                      <w14:alpha w14:val="30000"/>
                    </w14:srgbClr>
                  </w14:solidFill>
                </w14:textFill>
              </w:rPr>
            </w:pPr>
            <w:r w:rsidRPr="006D29BF">
              <w:rPr>
                <w:color w:val="353737"/>
                <w:lang w:val="en-CA"/>
                <w14:textFill>
                  <w14:solidFill>
                    <w14:srgbClr w14:val="353737">
                      <w14:alpha w14:val="30000"/>
                    </w14:srgbClr>
                  </w14:solidFill>
                </w14:textFill>
              </w:rPr>
              <w:t xml:space="preserve">Piet Mondrian, </w:t>
            </w:r>
            <w:r w:rsidRPr="006D29BF">
              <w:rPr>
                <w:i/>
                <w:iCs/>
                <w:color w:val="353737"/>
                <w:lang w:val="en-CA"/>
                <w14:textFill>
                  <w14:solidFill>
                    <w14:srgbClr w14:val="353737">
                      <w14:alpha w14:val="30000"/>
                    </w14:srgbClr>
                  </w14:solidFill>
                </w14:textFill>
              </w:rPr>
              <w:t>L’arbre rouge, (the red tree) Evening; Red Tree (Avond; De rode boom)</w:t>
            </w:r>
            <w:r w:rsidRPr="006D29BF">
              <w:rPr>
                <w:color w:val="353737"/>
                <w:lang w:val="en-CA"/>
                <w14:textFill>
                  <w14:solidFill>
                    <w14:srgbClr w14:val="353737">
                      <w14:alpha w14:val="30000"/>
                    </w14:srgbClr>
                  </w14:solidFill>
                </w14:textFill>
              </w:rPr>
              <w:t>, 1908-1910, huile sur toile, 70 x 99 cm, Gemeentemuseum Den Haag</w:t>
            </w:r>
          </w:p>
          <w:p w14:paraId="7AE6C8FF" w14:textId="77777777" w:rsidR="00197B97" w:rsidRPr="006D29BF" w:rsidRDefault="00197B97" w:rsidP="006D29BF">
            <w:pPr>
              <w:rPr>
                <w:color w:val="353737"/>
                <w:lang w:val="en-CA"/>
                <w14:textFill>
                  <w14:solidFill>
                    <w14:srgbClr w14:val="353737">
                      <w14:alpha w14:val="30000"/>
                    </w14:srgbClr>
                  </w14:solidFill>
                </w14:textFill>
              </w:rPr>
            </w:pPr>
          </w:p>
          <w:p w14:paraId="02B9E2E4" w14:textId="77777777" w:rsidR="00197B97" w:rsidRPr="006D29BF" w:rsidRDefault="00197B97" w:rsidP="00924213">
            <w:pPr>
              <w:pStyle w:val="Heading4"/>
            </w:pPr>
            <w:r w:rsidRPr="006D29BF">
              <w:t xml:space="preserve">Source consultée : </w:t>
            </w:r>
          </w:p>
          <w:p w14:paraId="3041E8DF" w14:textId="77777777" w:rsidR="00197B97" w:rsidRPr="00924213" w:rsidRDefault="00197B97" w:rsidP="00924213">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924213">
              <w:rPr>
                <w:rFonts w:ascii="Noto Serif" w:hAnsi="Noto Serif" w:cs="Noto Serif"/>
                <w:color w:val="353737"/>
                <w14:textFill>
                  <w14:solidFill>
                    <w14:srgbClr w14:val="353737">
                      <w14:alpha w14:val="30000"/>
                    </w14:srgbClr>
                  </w14:solidFill>
                </w14:textFill>
              </w:rPr>
              <w:t xml:space="preserve">CENTRE POMPIDOU, </w:t>
            </w:r>
            <w:r w:rsidRPr="00924213">
              <w:rPr>
                <w:rFonts w:ascii="Noto Serif" w:hAnsi="Noto Serif" w:cs="Noto Serif"/>
                <w:i/>
                <w:iCs/>
                <w:color w:val="353737"/>
                <w14:textFill>
                  <w14:solidFill>
                    <w14:srgbClr w14:val="353737">
                      <w14:alpha w14:val="30000"/>
                    </w14:srgbClr>
                  </w14:solidFill>
                </w14:textFill>
              </w:rPr>
              <w:t>Parcours pédagogique, Mondrian/De Still</w:t>
            </w:r>
            <w:r w:rsidRPr="00924213">
              <w:rPr>
                <w:rFonts w:ascii="Noto Serif" w:hAnsi="Noto Serif" w:cs="Noto Serif"/>
                <w:color w:val="353737"/>
                <w14:textFill>
                  <w14:solidFill>
                    <w14:srgbClr w14:val="353737">
                      <w14:alpha w14:val="30000"/>
                    </w14:srgbClr>
                  </w14:solidFill>
                </w14:textFill>
              </w:rPr>
              <w:t>, 2011. [http ://mediation.centrepompidou.fr/education/ressources/ENS-mondrian/ENS-</w:t>
            </w:r>
            <w:r w:rsidRPr="00924213">
              <w:rPr>
                <w:rFonts w:ascii="Noto Serif" w:hAnsi="Noto Serif" w:cs="Noto Serif"/>
                <w:color w:val="353737"/>
                <w14:textFill>
                  <w14:solidFill>
                    <w14:srgbClr w14:val="353737">
                      <w14:alpha w14:val="30000"/>
                    </w14:srgbClr>
                  </w14:solidFill>
                </w14:textFill>
              </w:rPr>
              <w:lastRenderedPageBreak/>
              <w:t>mondrian.html].</w:t>
            </w:r>
          </w:p>
        </w:tc>
        <w:tc>
          <w:tcPr>
            <w:tcW w:w="3447" w:type="dxa"/>
          </w:tcPr>
          <w:p w14:paraId="6B8F74A6"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Dans les œuvres de la période figurative de Mondrian, on retrouve souvent la représentation d’arbres. En consultant ses œuvres selon un ordre chronologique, on peut facilement voir comment la forme de l’arbre a été utilisée comme base pour créer le style géométrique simplifié de l’artiste.</w:t>
            </w:r>
          </w:p>
        </w:tc>
      </w:tr>
      <w:tr w:rsidR="006D29BF" w:rsidRPr="006D29BF" w14:paraId="04BD21FD" w14:textId="77777777" w:rsidTr="006D29BF">
        <w:trPr>
          <w:trHeight w:val="597"/>
        </w:trPr>
        <w:tc>
          <w:tcPr>
            <w:tcW w:w="3256" w:type="dxa"/>
          </w:tcPr>
          <w:p w14:paraId="7DC7F3CC"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7AE0D69C"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Piet Mondrian, </w:t>
            </w:r>
            <w:r w:rsidRPr="006D29BF">
              <w:rPr>
                <w:i/>
                <w:iCs/>
                <w:color w:val="353737"/>
                <w14:textFill>
                  <w14:solidFill>
                    <w14:srgbClr w14:val="353737">
                      <w14:alpha w14:val="30000"/>
                    </w14:srgbClr>
                  </w14:solidFill>
                </w14:textFill>
              </w:rPr>
              <w:t>Composition n</w:t>
            </w:r>
            <w:r w:rsidRPr="006D29BF">
              <w:rPr>
                <w:i/>
                <w:iCs/>
                <w:color w:val="353737"/>
                <w:vertAlign w:val="superscript"/>
                <w14:textFill>
                  <w14:solidFill>
                    <w14:srgbClr w14:val="353737">
                      <w14:alpha w14:val="30000"/>
                    </w14:srgbClr>
                  </w14:solidFill>
                </w14:textFill>
              </w:rPr>
              <w:t>o</w:t>
            </w:r>
            <w:r w:rsidRPr="006D29BF">
              <w:rPr>
                <w:i/>
                <w:iCs/>
                <w:color w:val="353737"/>
                <w14:textFill>
                  <w14:solidFill>
                    <w14:srgbClr w14:val="353737">
                      <w14:alpha w14:val="30000"/>
                    </w14:srgbClr>
                  </w14:solidFill>
                </w14:textFill>
              </w:rPr>
              <w:t> XVI</w:t>
            </w:r>
            <w:r w:rsidRPr="006D29BF">
              <w:rPr>
                <w:color w:val="353737"/>
                <w14:textFill>
                  <w14:solidFill>
                    <w14:srgbClr w14:val="353737">
                      <w14:alpha w14:val="30000"/>
                    </w14:srgbClr>
                  </w14:solidFill>
                </w14:textFill>
              </w:rPr>
              <w:t>, Composite 1 (Arbres), v. 1912-1913, huile sur toile, 85,5 x 75 cm, Fondation Beyeler, Riehen/Basel, Suisse</w:t>
            </w:r>
          </w:p>
          <w:p w14:paraId="1E962878" w14:textId="77777777" w:rsidR="00197B97" w:rsidRPr="006D29BF" w:rsidRDefault="00197B97" w:rsidP="006D29BF">
            <w:pPr>
              <w:rPr>
                <w:color w:val="353737"/>
                <w14:textFill>
                  <w14:solidFill>
                    <w14:srgbClr w14:val="353737">
                      <w14:alpha w14:val="30000"/>
                    </w14:srgbClr>
                  </w14:solidFill>
                </w14:textFill>
              </w:rPr>
            </w:pPr>
          </w:p>
          <w:p w14:paraId="019B3892" w14:textId="77777777" w:rsidR="00197B97" w:rsidRPr="006D29BF" w:rsidRDefault="00197B97" w:rsidP="00924213">
            <w:pPr>
              <w:pStyle w:val="Heading4"/>
            </w:pPr>
            <w:r w:rsidRPr="006D29BF">
              <w:t xml:space="preserve">Source consultée : </w:t>
            </w:r>
          </w:p>
          <w:p w14:paraId="3AD5FCA0" w14:textId="77777777" w:rsidR="00197B97" w:rsidRPr="00924213" w:rsidRDefault="00197B97" w:rsidP="00924213">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924213">
              <w:rPr>
                <w:rFonts w:ascii="Noto Serif" w:hAnsi="Noto Serif" w:cs="Noto Serif"/>
                <w:color w:val="353737"/>
                <w14:textFill>
                  <w14:solidFill>
                    <w14:srgbClr w14:val="353737">
                      <w14:alpha w14:val="30000"/>
                    </w14:srgbClr>
                  </w14:solidFill>
                </w14:textFill>
              </w:rPr>
              <w:t xml:space="preserve">CENTRE POMPIDOU, </w:t>
            </w:r>
            <w:r w:rsidRPr="00924213">
              <w:rPr>
                <w:rFonts w:ascii="Noto Serif" w:hAnsi="Noto Serif" w:cs="Noto Serif"/>
                <w:i/>
                <w:iCs/>
                <w:color w:val="353737"/>
                <w14:textFill>
                  <w14:solidFill>
                    <w14:srgbClr w14:val="353737">
                      <w14:alpha w14:val="30000"/>
                    </w14:srgbClr>
                  </w14:solidFill>
                </w14:textFill>
              </w:rPr>
              <w:t>Parcours pédagogique, Mondrian/De Still</w:t>
            </w:r>
            <w:r w:rsidRPr="00924213">
              <w:rPr>
                <w:rFonts w:ascii="Noto Serif" w:hAnsi="Noto Serif" w:cs="Noto Serif"/>
                <w:color w:val="353737"/>
                <w14:textFill>
                  <w14:solidFill>
                    <w14:srgbClr w14:val="353737">
                      <w14:alpha w14:val="30000"/>
                    </w14:srgbClr>
                  </w14:solidFill>
                </w14:textFill>
              </w:rPr>
              <w:t>, 2011. [http ://mediation.centrepompidou.fr/education/ressources/ENS-mondrian/ENS-mondrian.html].</w:t>
            </w:r>
          </w:p>
        </w:tc>
        <w:tc>
          <w:tcPr>
            <w:tcW w:w="3447" w:type="dxa"/>
          </w:tcPr>
          <w:p w14:paraId="3E4959D2"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L’arbre, souvent le pommier, lorsqu’il est dépouillé de ses feuilles, offre au regard un réseau de petites formes plus ou moins ovales, cernées par des lignes sombres; le rapport formel avec la facette des œuvres cubistes de Braque et de Picasso est plus qu’évident. </w:t>
            </w:r>
          </w:p>
          <w:p w14:paraId="1F07AE79"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Mondrian utilise souvent la représentation d’un pommier sans feuilles, qui montre un réseau de petites formes ovales entourées de lignes sombres. Ce choix de représentation montre clairement l’influence formelle des œuvres cubistes de Braque et Picasso. Il annonce aussi l’utilisation de la ligne horizontale et verticale noire qui rythmera ses futures œuvres. </w:t>
            </w:r>
          </w:p>
        </w:tc>
      </w:tr>
      <w:tr w:rsidR="006D29BF" w:rsidRPr="006D29BF" w14:paraId="57340091" w14:textId="77777777" w:rsidTr="006D29BF">
        <w:trPr>
          <w:trHeight w:val="597"/>
        </w:trPr>
        <w:tc>
          <w:tcPr>
            <w:tcW w:w="3256" w:type="dxa"/>
          </w:tcPr>
          <w:p w14:paraId="66CDAC11"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7B4EFB1D"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Piet Mondrian, </w:t>
            </w:r>
            <w:r w:rsidRPr="006D29BF">
              <w:rPr>
                <w:i/>
                <w:iCs/>
                <w:color w:val="353737"/>
                <w14:textFill>
                  <w14:solidFill>
                    <w14:srgbClr w14:val="353737">
                      <w14:alpha w14:val="30000"/>
                    </w14:srgbClr>
                  </w14:solidFill>
                </w14:textFill>
              </w:rPr>
              <w:t>Composition in Brown and Gray</w:t>
            </w:r>
            <w:r w:rsidRPr="006D29BF">
              <w:rPr>
                <w:color w:val="353737"/>
                <w14:textFill>
                  <w14:solidFill>
                    <w14:srgbClr w14:val="353737">
                      <w14:alpha w14:val="30000"/>
                    </w14:srgbClr>
                  </w14:solidFill>
                </w14:textFill>
              </w:rPr>
              <w:t>, 1913, huile sur toile, 85,7 x 75,5 cm, MOMA</w:t>
            </w:r>
            <w:r w:rsidRPr="006D29BF">
              <w:rPr>
                <w:color w:val="353737"/>
                <w14:textFill>
                  <w14:solidFill>
                    <w14:srgbClr w14:val="353737">
                      <w14:alpha w14:val="30000"/>
                    </w14:srgbClr>
                  </w14:solidFill>
                </w14:textFill>
              </w:rPr>
              <w:tab/>
            </w:r>
          </w:p>
          <w:p w14:paraId="200479CE" w14:textId="77777777" w:rsidR="00197B97" w:rsidRPr="006D29BF" w:rsidRDefault="00197B97" w:rsidP="006D29BF">
            <w:pPr>
              <w:rPr>
                <w:color w:val="353737"/>
                <w14:textFill>
                  <w14:solidFill>
                    <w14:srgbClr w14:val="353737">
                      <w14:alpha w14:val="30000"/>
                    </w14:srgbClr>
                  </w14:solidFill>
                </w14:textFill>
              </w:rPr>
            </w:pPr>
          </w:p>
          <w:p w14:paraId="66C18776" w14:textId="77777777" w:rsidR="00197B97" w:rsidRPr="006D29BF" w:rsidRDefault="00197B97" w:rsidP="00924213">
            <w:pPr>
              <w:pStyle w:val="Heading4"/>
            </w:pPr>
            <w:r w:rsidRPr="006D29BF">
              <w:lastRenderedPageBreak/>
              <w:t xml:space="preserve">Source consultée : </w:t>
            </w:r>
          </w:p>
          <w:p w14:paraId="2976997A" w14:textId="77777777" w:rsidR="00197B97" w:rsidRPr="00924213" w:rsidRDefault="00197B97" w:rsidP="00924213">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924213">
              <w:rPr>
                <w:rFonts w:ascii="Noto Serif" w:hAnsi="Noto Serif" w:cs="Noto Serif"/>
                <w:color w:val="353737"/>
                <w14:textFill>
                  <w14:solidFill>
                    <w14:srgbClr w14:val="353737">
                      <w14:alpha w14:val="30000"/>
                    </w14:srgbClr>
                  </w14:solidFill>
                </w14:textFill>
              </w:rPr>
              <w:t xml:space="preserve">CENTRE POMPIDOU, </w:t>
            </w:r>
            <w:r w:rsidRPr="00924213">
              <w:rPr>
                <w:rFonts w:ascii="Noto Serif" w:hAnsi="Noto Serif" w:cs="Noto Serif"/>
                <w:i/>
                <w:iCs/>
                <w:color w:val="353737"/>
                <w14:textFill>
                  <w14:solidFill>
                    <w14:srgbClr w14:val="353737">
                      <w14:alpha w14:val="30000"/>
                    </w14:srgbClr>
                  </w14:solidFill>
                </w14:textFill>
              </w:rPr>
              <w:t>Parcours pédagogique, Mondrian/De Still</w:t>
            </w:r>
            <w:r w:rsidRPr="00924213">
              <w:rPr>
                <w:rFonts w:ascii="Noto Serif" w:hAnsi="Noto Serif" w:cs="Noto Serif"/>
                <w:color w:val="353737"/>
                <w14:textFill>
                  <w14:solidFill>
                    <w14:srgbClr w14:val="353737">
                      <w14:alpha w14:val="30000"/>
                    </w14:srgbClr>
                  </w14:solidFill>
                </w14:textFill>
              </w:rPr>
              <w:t>, 2011. [http ://mediation.centrepompidou.fr/education/ressources/ENS-mondrian/ENS-mondrian.html].</w:t>
            </w:r>
          </w:p>
        </w:tc>
        <w:tc>
          <w:tcPr>
            <w:tcW w:w="3447" w:type="dxa"/>
          </w:tcPr>
          <w:p w14:paraId="45EAAE78"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 xml:space="preserve">Dans cette version de l’œuvre de Mondrian, qui est une esquisse, on peut voir des lignes diagonales qui donnent l’illusion d’une profondeur de champ et soulignent la perspective. Cependant, dans ses œuvres ultérieures, cette astuce </w:t>
            </w:r>
            <w:r w:rsidRPr="006D29BF">
              <w:rPr>
                <w:color w:val="353737"/>
                <w14:textFill>
                  <w14:solidFill>
                    <w14:srgbClr w14:val="353737">
                      <w14:alpha w14:val="30000"/>
                    </w14:srgbClr>
                  </w14:solidFill>
                </w14:textFill>
              </w:rPr>
              <w:lastRenderedPageBreak/>
              <w:t>sera complètement éliminée, ne laissant que des lignes verticales et horizontales comme seule structure.</w:t>
            </w:r>
          </w:p>
        </w:tc>
      </w:tr>
      <w:tr w:rsidR="006D29BF" w:rsidRPr="006D29BF" w14:paraId="54132B05" w14:textId="77777777" w:rsidTr="006D29BF">
        <w:trPr>
          <w:trHeight w:val="597"/>
        </w:trPr>
        <w:tc>
          <w:tcPr>
            <w:tcW w:w="3256" w:type="dxa"/>
          </w:tcPr>
          <w:p w14:paraId="0106A5C1"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77117FE1"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Piet Mondrian, </w:t>
            </w:r>
            <w:r w:rsidRPr="006D29BF">
              <w:rPr>
                <w:i/>
                <w:iCs/>
                <w:color w:val="353737"/>
                <w14:textFill>
                  <w14:solidFill>
                    <w14:srgbClr w14:val="353737">
                      <w14:alpha w14:val="30000"/>
                    </w14:srgbClr>
                  </w14:solidFill>
                </w14:textFill>
              </w:rPr>
              <w:t>Jetée et Océan</w:t>
            </w:r>
            <w:r w:rsidRPr="006D29BF">
              <w:rPr>
                <w:color w:val="353737"/>
                <w14:textFill>
                  <w14:solidFill>
                    <w14:srgbClr w14:val="353737">
                      <w14:alpha w14:val="30000"/>
                    </w14:srgbClr>
                  </w14:solidFill>
                </w14:textFill>
              </w:rPr>
              <w:t>, Composition n</w:t>
            </w:r>
            <w:r w:rsidRPr="006D29BF">
              <w:rPr>
                <w:color w:val="353737"/>
                <w:vertAlign w:val="superscript"/>
                <w14:textFill>
                  <w14:solidFill>
                    <w14:srgbClr w14:val="353737">
                      <w14:alpha w14:val="30000"/>
                    </w14:srgbClr>
                  </w14:solidFill>
                </w14:textFill>
              </w:rPr>
              <w:t>o</w:t>
            </w:r>
            <w:r w:rsidRPr="006D29BF">
              <w:rPr>
                <w:color w:val="353737"/>
                <w14:textFill>
                  <w14:solidFill>
                    <w14:srgbClr w14:val="353737">
                      <w14:alpha w14:val="30000"/>
                    </w14:srgbClr>
                  </w14:solidFill>
                </w14:textFill>
              </w:rPr>
              <w:t> 10. 1915, huile sur toile, 85 x 108 cm, Kröller-Müller Museum</w:t>
            </w:r>
          </w:p>
          <w:p w14:paraId="7563BF5D"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ab/>
            </w:r>
          </w:p>
          <w:p w14:paraId="0EB15C6F" w14:textId="77777777" w:rsidR="00197B97" w:rsidRPr="006D29BF" w:rsidRDefault="00197B97" w:rsidP="00634AFC">
            <w:pPr>
              <w:pStyle w:val="Heading4"/>
            </w:pPr>
            <w:r w:rsidRPr="006D29BF">
              <w:t xml:space="preserve">Source consultée : </w:t>
            </w:r>
          </w:p>
          <w:p w14:paraId="4533B55D" w14:textId="77777777" w:rsidR="00197B97" w:rsidRPr="00634AFC" w:rsidRDefault="00197B97" w:rsidP="00634AFC">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LAROUSSE, « Dictionnaire de la peinture ». </w:t>
            </w:r>
            <w:r w:rsidRPr="00634AFC">
              <w:rPr>
                <w:rFonts w:ascii="Noto Serif" w:hAnsi="Noto Serif" w:cs="Noto Serif"/>
                <w:i/>
                <w:iCs/>
                <w:color w:val="353737"/>
                <w14:textFill>
                  <w14:solidFill>
                    <w14:srgbClr w14:val="353737">
                      <w14:alpha w14:val="30000"/>
                    </w14:srgbClr>
                  </w14:solidFill>
                </w14:textFill>
              </w:rPr>
              <w:t>Le Néo Plasticisme</w:t>
            </w:r>
            <w:r w:rsidRPr="00634AFC">
              <w:rPr>
                <w:rFonts w:ascii="Noto Serif" w:hAnsi="Noto Serif" w:cs="Noto Serif"/>
                <w:color w:val="353737"/>
                <w14:textFill>
                  <w14:solidFill>
                    <w14:srgbClr w14:val="353737">
                      <w14:alpha w14:val="30000"/>
                    </w14:srgbClr>
                  </w14:solidFill>
                </w14:textFill>
              </w:rPr>
              <w:t>, [</w:t>
            </w:r>
            <w:hyperlink r:id="rId8" w:history="1">
              <w:r w:rsidRPr="00634AFC">
                <w:rPr>
                  <w:rFonts w:ascii="Noto Serif" w:hAnsi="Noto Serif" w:cs="Noto Serif"/>
                  <w:color w:val="353737"/>
                  <w14:textFill>
                    <w14:solidFill>
                      <w14:srgbClr w14:val="353737">
                        <w14:alpha w14:val="30000"/>
                      </w14:srgbClr>
                    </w14:solidFill>
                  </w14:textFill>
                </w:rPr>
                <w:t>http://www.larousse.fr/encyclopedie/peinture/n%C3%A9o-plasticisme/1</w:t>
              </w:r>
              <w:r w:rsidRPr="00634AFC">
                <w:rPr>
                  <w:rFonts w:ascii="Noto Serif" w:hAnsi="Noto Serif" w:cs="Noto Serif"/>
                  <w:color w:val="353737"/>
                  <w14:textFill>
                    <w14:solidFill>
                      <w14:srgbClr w14:val="353737">
                        <w14:alpha w14:val="30000"/>
                      </w14:srgbClr>
                    </w14:solidFill>
                  </w14:textFill>
                </w:rPr>
                <w:lastRenderedPageBreak/>
                <w:t>53580#7rHJi85gV14O2MC0.99</w:t>
              </w:r>
            </w:hyperlink>
            <w:r w:rsidRPr="00634AFC">
              <w:rPr>
                <w:rFonts w:ascii="Noto Serif" w:hAnsi="Noto Serif" w:cs="Noto Serif"/>
                <w:color w:val="353737"/>
                <w14:textFill>
                  <w14:solidFill>
                    <w14:srgbClr w14:val="353737">
                      <w14:alpha w14:val="30000"/>
                    </w14:srgbClr>
                  </w14:solidFill>
                </w14:textFill>
              </w:rPr>
              <w:t>] (Consulté le 8 avril 2015).</w:t>
            </w:r>
          </w:p>
        </w:tc>
        <w:tc>
          <w:tcPr>
            <w:tcW w:w="3447" w:type="dxa"/>
          </w:tcPr>
          <w:p w14:paraId="6BC17C9C"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Sans d’abord se concentrer sur les couleurs, Mondrian réalise ses premières recherches abstraites à l’aide de ligne et de formes. Il produit une série de tableaux intitulés Jetée et océan, dans lesquels tente d’exprimer par la ligne verticale, la tension de l’homme (verticalité) devant l’océan et le ciel (horizontalité). Il représente ses lignes en forme de croisements afin de symboliser les vagues.</w:t>
            </w:r>
          </w:p>
          <w:p w14:paraId="78D665FA" w14:textId="77777777" w:rsidR="00197B97" w:rsidRPr="006D29BF" w:rsidRDefault="00197B97" w:rsidP="006D29BF">
            <w:pPr>
              <w:rPr>
                <w:color w:val="353737"/>
                <w14:textFill>
                  <w14:solidFill>
                    <w14:srgbClr w14:val="353737">
                      <w14:alpha w14:val="30000"/>
                    </w14:srgbClr>
                  </w14:solidFill>
                </w14:textFill>
              </w:rPr>
            </w:pPr>
          </w:p>
        </w:tc>
      </w:tr>
      <w:tr w:rsidR="006D29BF" w:rsidRPr="006D29BF" w14:paraId="64A5C3B6" w14:textId="77777777" w:rsidTr="006D29BF">
        <w:trPr>
          <w:trHeight w:val="597"/>
        </w:trPr>
        <w:tc>
          <w:tcPr>
            <w:tcW w:w="3256" w:type="dxa"/>
          </w:tcPr>
          <w:p w14:paraId="7E663AC0"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32E8D315" w14:textId="77777777" w:rsidR="00197B97" w:rsidRPr="006D29BF" w:rsidRDefault="00197B97" w:rsidP="006D29BF">
            <w:pPr>
              <w:rPr>
                <w:color w:val="353737"/>
                <w:lang w:val="en-CA"/>
                <w14:textFill>
                  <w14:solidFill>
                    <w14:srgbClr w14:val="353737">
                      <w14:alpha w14:val="30000"/>
                    </w14:srgbClr>
                  </w14:solidFill>
                </w14:textFill>
              </w:rPr>
            </w:pPr>
            <w:r w:rsidRPr="006D29BF">
              <w:rPr>
                <w:i/>
                <w:iCs/>
                <w:color w:val="353737"/>
                <w:lang w:val="en-CA"/>
                <w14:textFill>
                  <w14:solidFill>
                    <w14:srgbClr w14:val="353737">
                      <w14:alpha w14:val="30000"/>
                    </w14:srgbClr>
                  </w14:solidFill>
                </w14:textFill>
              </w:rPr>
              <w:t>Piet Mondrian, Composition with Red, Yellow, Blue, and Black</w:t>
            </w:r>
            <w:r w:rsidRPr="006D29BF">
              <w:rPr>
                <w:color w:val="353737"/>
                <w:lang w:val="en-CA"/>
                <w14:textFill>
                  <w14:solidFill>
                    <w14:srgbClr w14:val="353737">
                      <w14:alpha w14:val="30000"/>
                    </w14:srgbClr>
                  </w14:solidFill>
                </w14:textFill>
              </w:rPr>
              <w:t>, 1921, huile sur toile, 59,5 cm x 59,5 cm</w:t>
            </w:r>
          </w:p>
          <w:p w14:paraId="28F6A5DF" w14:textId="77777777" w:rsidR="00197B97" w:rsidRPr="006D29BF" w:rsidRDefault="00197B97" w:rsidP="006D29BF">
            <w:pPr>
              <w:rPr>
                <w:color w:val="353737"/>
                <w:lang w:val="en-CA"/>
                <w14:textFill>
                  <w14:solidFill>
                    <w14:srgbClr w14:val="353737">
                      <w14:alpha w14:val="30000"/>
                    </w14:srgbClr>
                  </w14:solidFill>
                </w14:textFill>
              </w:rPr>
            </w:pPr>
          </w:p>
          <w:p w14:paraId="19461C4E" w14:textId="77777777" w:rsidR="00197B97" w:rsidRPr="006D29BF" w:rsidRDefault="00197B97" w:rsidP="00634AFC">
            <w:pPr>
              <w:pStyle w:val="Heading4"/>
            </w:pPr>
            <w:r w:rsidRPr="006D29BF">
              <w:t xml:space="preserve">Source consultée : </w:t>
            </w:r>
          </w:p>
          <w:p w14:paraId="31B889F8" w14:textId="77777777" w:rsidR="00197B97" w:rsidRPr="00634AFC" w:rsidRDefault="00197B97" w:rsidP="00634AFC">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LAROUSSE, « Dictionnaire de la peinture ». </w:t>
            </w:r>
            <w:r w:rsidRPr="00634AFC">
              <w:rPr>
                <w:rFonts w:ascii="Noto Serif" w:hAnsi="Noto Serif" w:cs="Noto Serif"/>
                <w:i/>
                <w:iCs/>
                <w:color w:val="353737"/>
                <w14:textFill>
                  <w14:solidFill>
                    <w14:srgbClr w14:val="353737">
                      <w14:alpha w14:val="30000"/>
                    </w14:srgbClr>
                  </w14:solidFill>
                </w14:textFill>
              </w:rPr>
              <w:t>Le Néo Plasticisme</w:t>
            </w:r>
            <w:r w:rsidRPr="00634AFC">
              <w:rPr>
                <w:rFonts w:ascii="Noto Serif" w:hAnsi="Noto Serif" w:cs="Noto Serif"/>
                <w:color w:val="353737"/>
                <w14:textFill>
                  <w14:solidFill>
                    <w14:srgbClr w14:val="353737">
                      <w14:alpha w14:val="30000"/>
                    </w14:srgbClr>
                  </w14:solidFill>
                </w14:textFill>
              </w:rPr>
              <w:t>, [</w:t>
            </w:r>
            <w:hyperlink r:id="rId9" w:history="1">
              <w:r w:rsidRPr="00634AFC">
                <w:rPr>
                  <w:rFonts w:ascii="Noto Serif" w:hAnsi="Noto Serif" w:cs="Noto Serif"/>
                  <w:color w:val="353737"/>
                  <w14:textFill>
                    <w14:solidFill>
                      <w14:srgbClr w14:val="353737">
                        <w14:alpha w14:val="30000"/>
                      </w14:srgbClr>
                    </w14:solidFill>
                  </w14:textFill>
                </w:rPr>
                <w:t>http://www.larousse.fr/encyclopedie/peinture/n%C3%A9o-plasticisme/153580#7rHJi85gV14O2MC0.99</w:t>
              </w:r>
            </w:hyperlink>
            <w:r w:rsidRPr="00634AFC">
              <w:rPr>
                <w:rFonts w:ascii="Noto Serif" w:hAnsi="Noto Serif" w:cs="Noto Serif"/>
                <w:color w:val="353737"/>
                <w14:textFill>
                  <w14:solidFill>
                    <w14:srgbClr w14:val="353737">
                      <w14:alpha w14:val="30000"/>
                    </w14:srgbClr>
                  </w14:solidFill>
                </w14:textFill>
              </w:rPr>
              <w:t>] (Consulté le 8 avril 2015).</w:t>
            </w:r>
          </w:p>
        </w:tc>
        <w:tc>
          <w:tcPr>
            <w:tcW w:w="3447" w:type="dxa"/>
          </w:tcPr>
          <w:p w14:paraId="0F91BA53"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Mondrian cherchait à créer une nouvelle représentation du monde en utilisant une symbolique issue de la théosophie. Cette symbolique repose sur une dualité entre l’horizontal et le vertical, le féminin et le masculin, et la matière et l’esprit, dans le but de transcender l’individuel pour atteindre l’universel. Cela se reflète dans sa réduction du langage plastique.</w:t>
            </w:r>
          </w:p>
        </w:tc>
      </w:tr>
    </w:tbl>
    <w:p w14:paraId="46521AD9" w14:textId="77777777" w:rsidR="00197B97" w:rsidRPr="006D29BF" w:rsidRDefault="00197B97" w:rsidP="006D29BF">
      <w:pPr>
        <w:rPr>
          <w:color w:val="353737"/>
          <w14:textFill>
            <w14:solidFill>
              <w14:srgbClr w14:val="353737">
                <w14:alpha w14:val="30000"/>
              </w14:srgbClr>
            </w14:solidFill>
          </w14:textFill>
        </w:rPr>
      </w:pPr>
    </w:p>
    <w:p w14:paraId="56DCC8BA" w14:textId="77777777" w:rsidR="00197B97" w:rsidRPr="006D29BF" w:rsidRDefault="00197B97" w:rsidP="006D29BF">
      <w:pPr>
        <w:rPr>
          <w:color w:val="353737"/>
          <w14:textFill>
            <w14:solidFill>
              <w14:srgbClr w14:val="353737">
                <w14:alpha w14:val="30000"/>
              </w14:srgbClr>
            </w14:solidFill>
          </w14:textFill>
        </w:rPr>
      </w:pPr>
    </w:p>
    <w:tbl>
      <w:tblPr>
        <w:tblStyle w:val="TableGrid"/>
        <w:tblW w:w="9254" w:type="dxa"/>
        <w:tblLayout w:type="fixed"/>
        <w:tblLook w:val="04A0" w:firstRow="1" w:lastRow="0" w:firstColumn="1" w:lastColumn="0" w:noHBand="0" w:noVBand="1"/>
      </w:tblPr>
      <w:tblGrid>
        <w:gridCol w:w="3256"/>
        <w:gridCol w:w="2551"/>
        <w:gridCol w:w="3447"/>
      </w:tblGrid>
      <w:tr w:rsidR="006D29BF" w:rsidRPr="006D29BF" w14:paraId="2F7991F4" w14:textId="77777777" w:rsidTr="00397508">
        <w:trPr>
          <w:trHeight w:val="3475"/>
        </w:trPr>
        <w:tc>
          <w:tcPr>
            <w:tcW w:w="3256" w:type="dxa"/>
          </w:tcPr>
          <w:p w14:paraId="6F0D75DD"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726F8782"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František Kupka, </w:t>
            </w:r>
            <w:r w:rsidRPr="006D29BF">
              <w:rPr>
                <w:i/>
                <w:iCs/>
                <w:color w:val="353737"/>
                <w14:textFill>
                  <w14:solidFill>
                    <w14:srgbClr w14:val="353737">
                      <w14:alpha w14:val="30000"/>
                    </w14:srgbClr>
                  </w14:solidFill>
                </w14:textFill>
              </w:rPr>
              <w:t>La jeune fille au ballon</w:t>
            </w:r>
            <w:r w:rsidRPr="006D29BF">
              <w:rPr>
                <w:color w:val="353737"/>
                <w14:textFill>
                  <w14:solidFill>
                    <w14:srgbClr w14:val="353737">
                      <w14:alpha w14:val="30000"/>
                    </w14:srgbClr>
                  </w14:solidFill>
                </w14:textFill>
              </w:rPr>
              <w:t>, 1908, huile sur toile, 114 x 70 cm, collection Centre Pompidou.</w:t>
            </w:r>
          </w:p>
        </w:tc>
        <w:tc>
          <w:tcPr>
            <w:tcW w:w="3447" w:type="dxa"/>
          </w:tcPr>
          <w:p w14:paraId="3BAE798B"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Ayant d’abord fait sa marque à Paris en tant qu’illustrateur pour la publication l’Assiette au beurre, Kupka se fera remarquer au salon de 1912 pour une démarche abstraite qui marquera le public et l’histoire de l’art. En 1908, Kupka crée une peinture à l’huile représentant une fillette jouant au ballon dans un style naturiste. Cette image sera réinterprétée à plusieurs reprises avec des dessins au crayon de couleur. L’artiste décompose progressivement le mouvement en plusieurs courbes à travers la feuille, faisant disparaître le sujet pour ne retenir que l’énergie et la vitalité du corps. </w:t>
            </w:r>
          </w:p>
        </w:tc>
      </w:tr>
      <w:tr w:rsidR="006D29BF" w:rsidRPr="006D29BF" w14:paraId="65AD2FE4" w14:textId="77777777" w:rsidTr="00397508">
        <w:trPr>
          <w:trHeight w:val="597"/>
        </w:trPr>
        <w:tc>
          <w:tcPr>
            <w:tcW w:w="3256" w:type="dxa"/>
          </w:tcPr>
          <w:p w14:paraId="65E109EA"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054652C4"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František Kupka, </w:t>
            </w:r>
            <w:r w:rsidRPr="006D29BF">
              <w:rPr>
                <w:i/>
                <w:iCs/>
                <w:color w:val="353737"/>
                <w14:textFill>
                  <w14:solidFill>
                    <w14:srgbClr w14:val="353737">
                      <w14:alpha w14:val="30000"/>
                    </w14:srgbClr>
                  </w14:solidFill>
                </w14:textFill>
              </w:rPr>
              <w:t>Plans par colores</w:t>
            </w:r>
            <w:r w:rsidRPr="006D29BF">
              <w:rPr>
                <w:color w:val="353737"/>
                <w14:textFill>
                  <w14:solidFill>
                    <w14:srgbClr w14:val="353737">
                      <w14:alpha w14:val="30000"/>
                    </w14:srgbClr>
                  </w14:solidFill>
                </w14:textFill>
              </w:rPr>
              <w:t xml:space="preserve">, 1910-1911, huile sur toile, 109 x 99,5 cm. Centre Pompidou. Paris </w:t>
            </w:r>
          </w:p>
          <w:p w14:paraId="75E1ED3C" w14:textId="77777777" w:rsidR="00197B97" w:rsidRPr="006D29BF" w:rsidRDefault="00197B97" w:rsidP="006D29BF">
            <w:pPr>
              <w:rPr>
                <w:color w:val="353737"/>
                <w14:textFill>
                  <w14:solidFill>
                    <w14:srgbClr w14:val="353737">
                      <w14:alpha w14:val="30000"/>
                    </w14:srgbClr>
                  </w14:solidFill>
                </w14:textFill>
              </w:rPr>
            </w:pPr>
          </w:p>
          <w:p w14:paraId="7757144C" w14:textId="77777777" w:rsidR="00197B97" w:rsidRPr="006D29BF" w:rsidRDefault="00197B97" w:rsidP="00634AFC">
            <w:pPr>
              <w:pStyle w:val="Heading4"/>
            </w:pPr>
            <w:r w:rsidRPr="006D29BF">
              <w:t xml:space="preserve">Source consultée : </w:t>
            </w:r>
          </w:p>
          <w:p w14:paraId="7C4C97C1" w14:textId="3CD812A5" w:rsidR="00197B97" w:rsidRPr="00634AFC" w:rsidRDefault="00197B97" w:rsidP="006D29BF">
            <w:pPr>
              <w:pStyle w:val="ListParagraph"/>
              <w:numPr>
                <w:ilvl w:val="0"/>
                <w:numId w:val="15"/>
              </w:numPr>
              <w:rPr>
                <w:rFonts w:ascii="Noto Serif" w:hAnsi="Noto Serif" w:cs="Noto Serif"/>
                <w:i/>
                <w:iCs/>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CENTRE POMPIDOU, </w:t>
            </w:r>
            <w:r w:rsidRPr="00634AFC">
              <w:rPr>
                <w:rFonts w:ascii="Noto Serif" w:hAnsi="Noto Serif" w:cs="Noto Serif"/>
                <w:i/>
                <w:iCs/>
                <w:color w:val="353737"/>
                <w14:textFill>
                  <w14:solidFill>
                    <w14:srgbClr w14:val="353737">
                      <w14:alpha w14:val="30000"/>
                    </w14:srgbClr>
                  </w14:solidFill>
                </w14:textFill>
              </w:rPr>
              <w:t xml:space="preserve">František </w:t>
            </w:r>
            <w:r w:rsidRPr="00634AFC">
              <w:rPr>
                <w:rFonts w:ascii="Noto Serif" w:hAnsi="Noto Serif" w:cs="Noto Serif"/>
                <w:i/>
                <w:iCs/>
                <w:color w:val="353737"/>
                <w14:textFill>
                  <w14:solidFill>
                    <w14:srgbClr w14:val="353737">
                      <w14:alpha w14:val="30000"/>
                    </w14:srgbClr>
                  </w14:solidFill>
                </w14:textFill>
              </w:rPr>
              <w:lastRenderedPageBreak/>
              <w:t>Kupka, Plans par couleurs,</w:t>
            </w:r>
            <w:r w:rsidR="00634AFC" w:rsidRPr="00634AFC">
              <w:rPr>
                <w:rFonts w:ascii="Noto Serif" w:hAnsi="Noto Serif" w:cs="Noto Serif"/>
                <w:i/>
                <w:iCs/>
                <w:color w:val="353737"/>
                <w14:textFill>
                  <w14:solidFill>
                    <w14:srgbClr w14:val="353737">
                      <w14:alpha w14:val="30000"/>
                    </w14:srgbClr>
                  </w14:solidFill>
                </w14:textFill>
              </w:rPr>
              <w:t xml:space="preserve"> </w:t>
            </w:r>
            <w:r w:rsidRPr="00634AFC">
              <w:rPr>
                <w:rFonts w:ascii="Noto Serif" w:hAnsi="Noto Serif" w:cs="Noto Serif"/>
                <w:i/>
                <w:iCs/>
                <w:color w:val="353737"/>
                <w14:textFill>
                  <w14:solidFill>
                    <w14:srgbClr w14:val="353737">
                      <w14:alpha w14:val="30000"/>
                    </w14:srgbClr>
                  </w14:solidFill>
                </w14:textFill>
              </w:rPr>
              <w:t>1910 – 1911</w:t>
            </w:r>
            <w:r w:rsidRPr="00634AFC">
              <w:rPr>
                <w:rFonts w:ascii="Noto Serif" w:hAnsi="Noto Serif" w:cs="Noto Serif"/>
                <w:color w:val="353737"/>
                <w14:textFill>
                  <w14:solidFill>
                    <w14:srgbClr w14:val="353737">
                      <w14:alpha w14:val="30000"/>
                    </w14:srgbClr>
                  </w14:solidFill>
                </w14:textFill>
              </w:rPr>
              <w:t>, [</w:t>
            </w:r>
            <w:hyperlink r:id="rId10" w:history="1">
              <w:r w:rsidRPr="00634AFC">
                <w:rPr>
                  <w:rFonts w:ascii="Noto Serif" w:hAnsi="Noto Serif" w:cs="Noto Serif"/>
                  <w:color w:val="353737"/>
                  <w14:textFill>
                    <w14:solidFill>
                      <w14:srgbClr w14:val="353737">
                        <w14:alpha w14:val="30000"/>
                      </w14:srgbClr>
                    </w14:solidFill>
                  </w14:textFill>
                </w:rPr>
                <w:t>https://www.centrepompidou.fr/fr/ressources/oeuvre/crgGkqd?fbclid=IwAR3xD5MpI2YXVj4B8t7yiRU-_Z6RKfiXMDzv-XQPAgpievUx2uwc5GX9XDc</w:t>
              </w:r>
            </w:hyperlink>
            <w:r w:rsidRPr="00634AFC">
              <w:rPr>
                <w:rFonts w:ascii="Noto Serif" w:hAnsi="Noto Serif" w:cs="Noto Serif"/>
                <w:color w:val="353737"/>
                <w14:textFill>
                  <w14:solidFill>
                    <w14:srgbClr w14:val="353737">
                      <w14:alpha w14:val="30000"/>
                    </w14:srgbClr>
                  </w14:solidFill>
                </w14:textFill>
              </w:rPr>
              <w:t>].</w:t>
            </w:r>
          </w:p>
          <w:p w14:paraId="2166B110" w14:textId="77777777" w:rsidR="00197B97" w:rsidRPr="006D29BF" w:rsidRDefault="00197B97" w:rsidP="006D29BF">
            <w:pPr>
              <w:rPr>
                <w:color w:val="353737"/>
                <w14:textFill>
                  <w14:solidFill>
                    <w14:srgbClr w14:val="353737">
                      <w14:alpha w14:val="30000"/>
                    </w14:srgbClr>
                  </w14:solidFill>
                </w14:textFill>
              </w:rPr>
            </w:pPr>
          </w:p>
        </w:tc>
        <w:tc>
          <w:tcPr>
            <w:tcW w:w="3447" w:type="dxa"/>
          </w:tcPr>
          <w:p w14:paraId="7BA386A7"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 xml:space="preserve">Le portrait géométrisé est considéré à l’époque de son exposition comme une « fantaisie postcubiste » et marque un jalon important dans l’évolution de l’art vers l’abstraction. La figure féminine est représentée avec des plans verticaux et des rayons lumineux qui suggèrent un mouvement </w:t>
            </w:r>
            <w:r w:rsidRPr="006D29BF">
              <w:rPr>
                <w:color w:val="353737"/>
                <w14:textFill>
                  <w14:solidFill>
                    <w14:srgbClr w14:val="353737">
                      <w14:alpha w14:val="30000"/>
                    </w14:srgbClr>
                  </w14:solidFill>
                </w14:textFill>
              </w:rPr>
              <w:lastRenderedPageBreak/>
              <w:t xml:space="preserve">lent. Le peintre, Frantisek Kupka, était intéressé par les avancées scientifiques de son époque, comme la chronophotographie et les rayons X, qui ont influencé sa façon de décomposer les mouvements et de représenter l’intérieur de la matière. Ses œuvres sont ainsi situées à mi-chemin entre la figuration et l’abstraction. </w:t>
            </w:r>
          </w:p>
          <w:p w14:paraId="4B71BEAF" w14:textId="77777777" w:rsidR="00197B97" w:rsidRPr="006D29BF" w:rsidRDefault="00197B97" w:rsidP="006D29BF">
            <w:pPr>
              <w:rPr>
                <w:color w:val="353737"/>
                <w14:textFill>
                  <w14:solidFill>
                    <w14:srgbClr w14:val="353737">
                      <w14:alpha w14:val="30000"/>
                    </w14:srgbClr>
                  </w14:solidFill>
                </w14:textFill>
              </w:rPr>
            </w:pPr>
          </w:p>
        </w:tc>
      </w:tr>
      <w:tr w:rsidR="006D29BF" w:rsidRPr="006D29BF" w14:paraId="742608D9" w14:textId="77777777" w:rsidTr="00397508">
        <w:trPr>
          <w:trHeight w:val="597"/>
        </w:trPr>
        <w:tc>
          <w:tcPr>
            <w:tcW w:w="3256" w:type="dxa"/>
          </w:tcPr>
          <w:p w14:paraId="40132262"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391ADA4D" w14:textId="77777777" w:rsidR="00197B97" w:rsidRPr="006D29BF" w:rsidRDefault="00197B97" w:rsidP="006D29BF">
            <w:pPr>
              <w:rPr>
                <w:color w:val="353737"/>
                <w:lang w:val="en-CA"/>
                <w14:textFill>
                  <w14:solidFill>
                    <w14:srgbClr w14:val="353737">
                      <w14:alpha w14:val="30000"/>
                    </w14:srgbClr>
                  </w14:solidFill>
                </w14:textFill>
              </w:rPr>
            </w:pPr>
            <w:r w:rsidRPr="006D29BF">
              <w:rPr>
                <w:color w:val="353737"/>
                <w:lang w:val="en-CA"/>
                <w14:textFill>
                  <w14:solidFill>
                    <w14:srgbClr w14:val="353737">
                      <w14:alpha w14:val="30000"/>
                    </w14:srgbClr>
                  </w14:solidFill>
                </w14:textFill>
              </w:rPr>
              <w:t xml:space="preserve">František Kupka, </w:t>
            </w:r>
            <w:r w:rsidRPr="006D29BF">
              <w:rPr>
                <w:i/>
                <w:iCs/>
                <w:color w:val="353737"/>
                <w:lang w:val="en-CA"/>
                <w14:textFill>
                  <w14:solidFill>
                    <w14:srgbClr w14:val="353737">
                      <w14:alpha w14:val="30000"/>
                    </w14:srgbClr>
                  </w14:solidFill>
                </w14:textFill>
              </w:rPr>
              <w:t>Disques de Newton</w:t>
            </w:r>
            <w:r w:rsidRPr="006D29BF">
              <w:rPr>
                <w:color w:val="353737"/>
                <w:lang w:val="en-CA"/>
                <w14:textFill>
                  <w14:solidFill>
                    <w14:srgbClr w14:val="353737">
                      <w14:alpha w14:val="30000"/>
                    </w14:srgbClr>
                  </w14:solidFill>
                </w14:textFill>
              </w:rPr>
              <w:t>, 1912, Philadelphia Museum of Art</w:t>
            </w:r>
          </w:p>
          <w:p w14:paraId="56358780" w14:textId="77777777" w:rsidR="00197B97" w:rsidRPr="006D29BF" w:rsidRDefault="00197B97" w:rsidP="006D29BF">
            <w:pPr>
              <w:rPr>
                <w:color w:val="353737"/>
                <w:lang w:val="en-CA"/>
                <w14:textFill>
                  <w14:solidFill>
                    <w14:srgbClr w14:val="353737">
                      <w14:alpha w14:val="30000"/>
                    </w14:srgbClr>
                  </w14:solidFill>
                </w14:textFill>
              </w:rPr>
            </w:pPr>
            <w:r w:rsidRPr="006D29BF">
              <w:rPr>
                <w:color w:val="353737"/>
                <w:lang w:val="en-CA"/>
                <w14:textFill>
                  <w14:solidFill>
                    <w14:srgbClr w14:val="353737">
                      <w14:alpha w14:val="30000"/>
                    </w14:srgbClr>
                  </w14:solidFill>
                </w14:textFill>
              </w:rPr>
              <w:t>© Adagp, Paris 2018</w:t>
            </w:r>
          </w:p>
          <w:p w14:paraId="5E9C16EF" w14:textId="77777777" w:rsidR="00197B97" w:rsidRPr="006D29BF" w:rsidRDefault="00197B97" w:rsidP="006D29BF">
            <w:pPr>
              <w:rPr>
                <w:color w:val="353737"/>
                <w:lang w:val="en-CA"/>
                <w14:textFill>
                  <w14:solidFill>
                    <w14:srgbClr w14:val="353737">
                      <w14:alpha w14:val="30000"/>
                    </w14:srgbClr>
                  </w14:solidFill>
                </w14:textFill>
              </w:rPr>
            </w:pPr>
            <w:r w:rsidRPr="006D29BF">
              <w:rPr>
                <w:color w:val="353737"/>
                <w:lang w:val="en-CA"/>
                <w14:textFill>
                  <w14:solidFill>
                    <w14:srgbClr w14:val="353737">
                      <w14:alpha w14:val="30000"/>
                    </w14:srgbClr>
                  </w14:solidFill>
                </w14:textFill>
              </w:rPr>
              <w:t>© Philadelphia Museum of Art</w:t>
            </w:r>
          </w:p>
          <w:p w14:paraId="2528BC12" w14:textId="77777777" w:rsidR="00197B97" w:rsidRPr="006D29BF" w:rsidRDefault="00197B97" w:rsidP="006D29BF">
            <w:pPr>
              <w:rPr>
                <w:color w:val="353737"/>
                <w:lang w:val="en-CA"/>
                <w14:textFill>
                  <w14:solidFill>
                    <w14:srgbClr w14:val="353737">
                      <w14:alpha w14:val="30000"/>
                    </w14:srgbClr>
                  </w14:solidFill>
                </w14:textFill>
              </w:rPr>
            </w:pPr>
          </w:p>
          <w:p w14:paraId="26C3D1F0" w14:textId="77777777" w:rsidR="00197B97" w:rsidRPr="006D29BF" w:rsidRDefault="00197B97" w:rsidP="00634AFC">
            <w:pPr>
              <w:pStyle w:val="Heading4"/>
            </w:pPr>
            <w:r w:rsidRPr="006D29BF">
              <w:t xml:space="preserve">Sources consultées : </w:t>
            </w:r>
          </w:p>
          <w:p w14:paraId="41599E08" w14:textId="76CB96DB" w:rsidR="00197B97" w:rsidRPr="00634AFC" w:rsidRDefault="00197B97" w:rsidP="00634AFC">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La Réunion des musées nationaux, Grand Palais, ministère de la Culture, </w:t>
            </w:r>
            <w:r w:rsidRPr="00634AFC">
              <w:rPr>
                <w:rFonts w:ascii="Noto Serif" w:hAnsi="Noto Serif" w:cs="Noto Serif"/>
                <w:i/>
                <w:iCs/>
                <w:color w:val="353737"/>
                <w14:textFill>
                  <w14:solidFill>
                    <w14:srgbClr w14:val="353737">
                      <w14:alpha w14:val="30000"/>
                    </w14:srgbClr>
                  </w14:solidFill>
                </w14:textFill>
              </w:rPr>
              <w:t>Amorpha : l’œuvre qui fait basculer Kupka dans l’abstraction</w:t>
            </w:r>
            <w:r w:rsidRPr="00634AFC">
              <w:rPr>
                <w:rFonts w:ascii="Noto Serif" w:hAnsi="Noto Serif" w:cs="Noto Serif"/>
                <w:color w:val="353737"/>
                <w14:textFill>
                  <w14:solidFill>
                    <w14:srgbClr w14:val="353737">
                      <w14:alpha w14:val="30000"/>
                    </w14:srgbClr>
                  </w14:solidFill>
                </w14:textFill>
              </w:rPr>
              <w:t xml:space="preserve">, </w:t>
            </w:r>
            <w:r w:rsidRPr="00634AFC">
              <w:rPr>
                <w:rFonts w:ascii="Noto Serif" w:hAnsi="Noto Serif" w:cs="Noto Serif"/>
                <w:color w:val="353737"/>
                <w14:textFill>
                  <w14:solidFill>
                    <w14:srgbClr w14:val="353737">
                      <w14:alpha w14:val="30000"/>
                    </w14:srgbClr>
                  </w14:solidFill>
                </w14:textFill>
              </w:rPr>
              <w:lastRenderedPageBreak/>
              <w:t>2018. [https://www.grandpalais.fr/fr/article/amorpha-loeuvre-qui-fait-basculer-kupka-dans-labstraction].</w:t>
            </w:r>
          </w:p>
          <w:p w14:paraId="26107B70" w14:textId="77777777" w:rsidR="00197B97" w:rsidRPr="006D29BF" w:rsidRDefault="00197B97" w:rsidP="006D29BF">
            <w:pPr>
              <w:rPr>
                <w:color w:val="353737"/>
                <w14:textFill>
                  <w14:solidFill>
                    <w14:srgbClr w14:val="353737">
                      <w14:alpha w14:val="30000"/>
                    </w14:srgbClr>
                  </w14:solidFill>
                </w14:textFill>
              </w:rPr>
            </w:pPr>
          </w:p>
        </w:tc>
        <w:tc>
          <w:tcPr>
            <w:tcW w:w="3447" w:type="dxa"/>
          </w:tcPr>
          <w:p w14:paraId="615C4C0E"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 xml:space="preserve">Kupka décide alors de rompre avec la tradition de la figuration </w:t>
            </w:r>
          </w:p>
          <w:p w14:paraId="2CDEA328"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en créant une autre réalité purement picturale à partir des moyens de la peinture. Il manifeste cette rupture à travers des œuvres révolutionnaires telles que les Disques de Newton et Amorpha, fugue à deux couleurs et Amorpha, chromatique chaude exposées au Salon d’automne de 1912. Ces œuvres non-figuratives sont présentées pour la première fois au public parisien.</w:t>
            </w:r>
          </w:p>
        </w:tc>
      </w:tr>
      <w:tr w:rsidR="006D29BF" w:rsidRPr="006D29BF" w14:paraId="5653271B" w14:textId="77777777" w:rsidTr="00397508">
        <w:trPr>
          <w:trHeight w:val="185"/>
        </w:trPr>
        <w:tc>
          <w:tcPr>
            <w:tcW w:w="3256" w:type="dxa"/>
          </w:tcPr>
          <w:p w14:paraId="722E6C6F"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7A02C50C"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František Kupka, </w:t>
            </w:r>
            <w:r w:rsidRPr="006D29BF">
              <w:rPr>
                <w:i/>
                <w:iCs/>
                <w:color w:val="353737"/>
                <w14:textFill>
                  <w14:solidFill>
                    <w14:srgbClr w14:val="353737">
                      <w14:alpha w14:val="30000"/>
                    </w14:srgbClr>
                  </w14:solidFill>
                </w14:textFill>
              </w:rPr>
              <w:t>Amorpha, fugue à deux couleurs</w:t>
            </w:r>
            <w:r w:rsidRPr="006D29BF">
              <w:rPr>
                <w:color w:val="353737"/>
                <w14:textFill>
                  <w14:solidFill>
                    <w14:srgbClr w14:val="353737">
                      <w14:alpha w14:val="30000"/>
                    </w14:srgbClr>
                  </w14:solidFill>
                </w14:textFill>
              </w:rPr>
              <w:t xml:space="preserve">, 1912, National Gallery de Prague © Adagp, Paris 2018 © National Gallery in Prague 2018 </w:t>
            </w:r>
          </w:p>
          <w:p w14:paraId="574E5EC2" w14:textId="77777777" w:rsidR="00197B97" w:rsidRPr="006D29BF" w:rsidRDefault="00197B97" w:rsidP="006D29BF">
            <w:pPr>
              <w:rPr>
                <w:color w:val="353737"/>
                <w14:textFill>
                  <w14:solidFill>
                    <w14:srgbClr w14:val="353737">
                      <w14:alpha w14:val="30000"/>
                    </w14:srgbClr>
                  </w14:solidFill>
                </w14:textFill>
              </w:rPr>
            </w:pPr>
          </w:p>
          <w:p w14:paraId="74962CFD" w14:textId="77777777" w:rsidR="00197B97" w:rsidRPr="006D29BF" w:rsidRDefault="00197B97" w:rsidP="00634AFC">
            <w:pPr>
              <w:pStyle w:val="Heading4"/>
            </w:pPr>
            <w:r w:rsidRPr="006D29BF">
              <w:t xml:space="preserve">Sources consultées : </w:t>
            </w:r>
          </w:p>
          <w:p w14:paraId="4048D10F" w14:textId="77777777" w:rsidR="00197B97" w:rsidRPr="00634AFC" w:rsidRDefault="00197B97" w:rsidP="00634AFC">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IBID, Préc.</w:t>
            </w:r>
          </w:p>
        </w:tc>
        <w:tc>
          <w:tcPr>
            <w:tcW w:w="3447" w:type="dxa"/>
          </w:tcPr>
          <w:p w14:paraId="4488FCB3"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La première exposition de cette œuvre non figurative a eu lieu au Salon d’Automne en novembre 1912. Elle a été déterminante pour le rôle de Kupka dans l’émergence de la peinture abstraite. Avec seulement deux couleurs, le rouge et le bleu, associée au blanc et au noir, Kupka utilise des plans simplifiés pour créer un rythme et une résonance. Il ne représente pas la nature ni le monde réel, mais suggère une dynamique qui capte l’attention du public par ses effets plastiques et esthétiques.</w:t>
            </w:r>
          </w:p>
        </w:tc>
      </w:tr>
      <w:tr w:rsidR="006D29BF" w:rsidRPr="006D29BF" w14:paraId="78691D3E" w14:textId="77777777" w:rsidTr="00397508">
        <w:trPr>
          <w:trHeight w:val="597"/>
        </w:trPr>
        <w:tc>
          <w:tcPr>
            <w:tcW w:w="3256" w:type="dxa"/>
          </w:tcPr>
          <w:p w14:paraId="4F102CF8"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3A9A1118"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František Kupka, </w:t>
            </w:r>
            <w:r w:rsidRPr="006D29BF">
              <w:rPr>
                <w:i/>
                <w:iCs/>
                <w:color w:val="353737"/>
                <w14:textFill>
                  <w14:solidFill>
                    <w14:srgbClr w14:val="353737">
                      <w14:alpha w14:val="30000"/>
                    </w14:srgbClr>
                  </w14:solidFill>
                </w14:textFill>
              </w:rPr>
              <w:t>Autour d’un point</w:t>
            </w:r>
            <w:r w:rsidRPr="006D29BF">
              <w:rPr>
                <w:color w:val="353737"/>
                <w14:textFill>
                  <w14:solidFill>
                    <w14:srgbClr w14:val="353737">
                      <w14:alpha w14:val="30000"/>
                    </w14:srgbClr>
                  </w14:solidFill>
                </w14:textFill>
              </w:rPr>
              <w:t>, 1920-1930, huile sur toile, 194,5 x 200 cm, Centre Pompidou</w:t>
            </w:r>
          </w:p>
          <w:p w14:paraId="438E87E1" w14:textId="77777777" w:rsidR="00197B97" w:rsidRPr="006D29BF" w:rsidRDefault="00197B97" w:rsidP="006D29BF">
            <w:pPr>
              <w:rPr>
                <w:color w:val="353737"/>
                <w14:textFill>
                  <w14:solidFill>
                    <w14:srgbClr w14:val="353737">
                      <w14:alpha w14:val="30000"/>
                    </w14:srgbClr>
                  </w14:solidFill>
                </w14:textFill>
              </w:rPr>
            </w:pPr>
          </w:p>
          <w:p w14:paraId="4DFFAB7D" w14:textId="77777777" w:rsidR="00197B97" w:rsidRPr="006D29BF" w:rsidRDefault="00197B97" w:rsidP="00634AFC">
            <w:pPr>
              <w:pStyle w:val="Heading4"/>
            </w:pPr>
            <w:r w:rsidRPr="006D29BF">
              <w:lastRenderedPageBreak/>
              <w:t xml:space="preserve">Source consultée : </w:t>
            </w:r>
          </w:p>
          <w:p w14:paraId="098A19F6" w14:textId="1F44F1E3" w:rsidR="00197B97" w:rsidRPr="00634AFC" w:rsidRDefault="00197B97" w:rsidP="006D29BF">
            <w:pPr>
              <w:pStyle w:val="ListParagraph"/>
              <w:numPr>
                <w:ilvl w:val="0"/>
                <w:numId w:val="15"/>
              </w:numPr>
              <w:rPr>
                <w:rFonts w:ascii="Noto Serif" w:hAnsi="Noto Serif" w:cs="Noto Serif"/>
                <w:i/>
                <w:iCs/>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CENTRE POMPIDOU, </w:t>
            </w:r>
            <w:r w:rsidRPr="00634AFC">
              <w:rPr>
                <w:rFonts w:ascii="Noto Serif" w:hAnsi="Noto Serif" w:cs="Noto Serif"/>
                <w:i/>
                <w:iCs/>
                <w:color w:val="353737"/>
                <w14:textFill>
                  <w14:solidFill>
                    <w14:srgbClr w14:val="353737">
                      <w14:alpha w14:val="30000"/>
                    </w14:srgbClr>
                  </w14:solidFill>
                </w14:textFill>
              </w:rPr>
              <w:t>František Kupka</w:t>
            </w:r>
            <w:r w:rsidR="00634AFC" w:rsidRPr="00634AFC">
              <w:rPr>
                <w:rFonts w:ascii="Noto Serif" w:hAnsi="Noto Serif" w:cs="Noto Serif"/>
                <w:i/>
                <w:iCs/>
                <w:color w:val="353737"/>
                <w14:textFill>
                  <w14:solidFill>
                    <w14:srgbClr w14:val="353737">
                      <w14:alpha w14:val="30000"/>
                    </w14:srgbClr>
                  </w14:solidFill>
                </w14:textFill>
              </w:rPr>
              <w:t xml:space="preserve"> </w:t>
            </w:r>
            <w:r w:rsidRPr="00634AFC">
              <w:rPr>
                <w:rFonts w:ascii="Noto Serif" w:hAnsi="Noto Serif" w:cs="Noto Serif"/>
                <w:i/>
                <w:iCs/>
                <w:color w:val="353737"/>
                <w14:textFill>
                  <w14:solidFill>
                    <w14:srgbClr w14:val="353737">
                      <w14:alpha w14:val="30000"/>
                    </w14:srgbClr>
                  </w14:solidFill>
                </w14:textFill>
              </w:rPr>
              <w:t>Autour d’un point</w:t>
            </w:r>
            <w:r w:rsidR="00634AFC" w:rsidRPr="00634AFC">
              <w:rPr>
                <w:rFonts w:ascii="Noto Serif" w:hAnsi="Noto Serif" w:cs="Noto Serif"/>
                <w:i/>
                <w:iCs/>
                <w:color w:val="353737"/>
                <w14:textFill>
                  <w14:solidFill>
                    <w14:srgbClr w14:val="353737">
                      <w14:alpha w14:val="30000"/>
                    </w14:srgbClr>
                  </w14:solidFill>
                </w14:textFill>
              </w:rPr>
              <w:t xml:space="preserve"> </w:t>
            </w:r>
            <w:r w:rsidRPr="00634AFC">
              <w:rPr>
                <w:rFonts w:ascii="Noto Serif" w:hAnsi="Noto Serif" w:cs="Noto Serif"/>
                <w:i/>
                <w:iCs/>
                <w:color w:val="353737"/>
                <w14:textFill>
                  <w14:solidFill>
                    <w14:srgbClr w14:val="353737">
                      <w14:alpha w14:val="30000"/>
                    </w14:srgbClr>
                  </w14:solidFill>
                </w14:textFill>
              </w:rPr>
              <w:t>[1920/1930]</w:t>
            </w:r>
            <w:r w:rsidRPr="00634AFC">
              <w:rPr>
                <w:rFonts w:ascii="Noto Serif" w:hAnsi="Noto Serif" w:cs="Noto Serif"/>
                <w:color w:val="353737"/>
                <w14:textFill>
                  <w14:solidFill>
                    <w14:srgbClr w14:val="353737">
                      <w14:alpha w14:val="30000"/>
                    </w14:srgbClr>
                  </w14:solidFill>
                </w14:textFill>
              </w:rPr>
              <w:t xml:space="preserve">, </w:t>
            </w:r>
            <w:r w:rsidR="00634AFC" w:rsidRPr="00634AFC">
              <w:rPr>
                <w:rFonts w:ascii="Noto Serif" w:hAnsi="Noto Serif" w:cs="Noto Serif"/>
                <w:color w:val="353737"/>
                <w14:textFill>
                  <w14:solidFill>
                    <w14:srgbClr w14:val="353737">
                      <w14:alpha w14:val="30000"/>
                    </w14:srgbClr>
                  </w14:solidFill>
                </w14:textFill>
              </w:rPr>
              <w:t xml:space="preserve"> </w:t>
            </w:r>
            <w:r w:rsidRPr="00634AFC">
              <w:rPr>
                <w:rFonts w:ascii="Noto Serif" w:hAnsi="Noto Serif" w:cs="Noto Serif"/>
                <w:color w:val="353737"/>
                <w14:textFill>
                  <w14:solidFill>
                    <w14:srgbClr w14:val="353737">
                      <w14:alpha w14:val="30000"/>
                    </w14:srgbClr>
                  </w14:solidFill>
                </w14:textFill>
              </w:rPr>
              <w:t>[</w:t>
            </w:r>
            <w:hyperlink r:id="rId11" w:history="1">
              <w:r w:rsidRPr="00634AFC">
                <w:rPr>
                  <w:rFonts w:ascii="Noto Serif" w:hAnsi="Noto Serif" w:cs="Noto Serif"/>
                  <w:color w:val="353737"/>
                  <w14:textFill>
                    <w14:solidFill>
                      <w14:srgbClr w14:val="353737">
                        <w14:alpha w14:val="30000"/>
                      </w14:srgbClr>
                    </w14:solidFill>
                  </w14:textFill>
                </w:rPr>
                <w:t>https://www.centrepompidou.fr/fr/ressources/oeuvre/cyn9REq</w:t>
              </w:r>
            </w:hyperlink>
            <w:r w:rsidRPr="00634AFC">
              <w:rPr>
                <w:rFonts w:ascii="Noto Serif" w:hAnsi="Noto Serif" w:cs="Noto Serif"/>
                <w:color w:val="353737"/>
                <w14:textFill>
                  <w14:solidFill>
                    <w14:srgbClr w14:val="353737">
                      <w14:alpha w14:val="30000"/>
                    </w14:srgbClr>
                  </w14:solidFill>
                </w14:textFill>
              </w:rPr>
              <w:t>].</w:t>
            </w:r>
          </w:p>
          <w:p w14:paraId="12129C68" w14:textId="77777777" w:rsidR="00197B97" w:rsidRPr="006D29BF" w:rsidRDefault="00197B97" w:rsidP="006D29BF">
            <w:pPr>
              <w:rPr>
                <w:color w:val="353737"/>
                <w14:textFill>
                  <w14:solidFill>
                    <w14:srgbClr w14:val="353737">
                      <w14:alpha w14:val="30000"/>
                    </w14:srgbClr>
                  </w14:solidFill>
                </w14:textFill>
              </w:rPr>
            </w:pPr>
          </w:p>
        </w:tc>
        <w:tc>
          <w:tcPr>
            <w:tcW w:w="3447" w:type="dxa"/>
          </w:tcPr>
          <w:p w14:paraId="6F06F16F"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 xml:space="preserve">Dans ce tableau, Kupka est revenu au motif symbolique de la fleur de lotus. La composition dynamique de cercles et demi-cercles est créée à partir d’un point minuscule </w:t>
            </w:r>
            <w:r w:rsidRPr="006D29BF">
              <w:rPr>
                <w:color w:val="353737"/>
                <w14:textFill>
                  <w14:solidFill>
                    <w14:srgbClr w14:val="353737">
                      <w14:alpha w14:val="30000"/>
                    </w14:srgbClr>
                  </w14:solidFill>
                </w14:textFill>
              </w:rPr>
              <w:lastRenderedPageBreak/>
              <w:t xml:space="preserve">et incarne pour l’artiste à la fois le mouvement et l’énergie de la vie organique. </w:t>
            </w:r>
          </w:p>
        </w:tc>
      </w:tr>
      <w:tr w:rsidR="006D29BF" w:rsidRPr="006D29BF" w14:paraId="2C65A139" w14:textId="77777777" w:rsidTr="00397508">
        <w:trPr>
          <w:trHeight w:val="597"/>
        </w:trPr>
        <w:tc>
          <w:tcPr>
            <w:tcW w:w="3256" w:type="dxa"/>
          </w:tcPr>
          <w:p w14:paraId="7393BF58"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06207B7F" w14:textId="77777777" w:rsidR="00197B97" w:rsidRPr="006D29BF" w:rsidRDefault="00197B97" w:rsidP="006D29BF">
            <w:pPr>
              <w:rPr>
                <w:color w:val="353737"/>
                <w:lang w:val="en-CA"/>
                <w14:textFill>
                  <w14:solidFill>
                    <w14:srgbClr w14:val="353737">
                      <w14:alpha w14:val="30000"/>
                    </w14:srgbClr>
                  </w14:solidFill>
                </w14:textFill>
              </w:rPr>
            </w:pPr>
            <w:r w:rsidRPr="006D29BF">
              <w:rPr>
                <w:color w:val="353737"/>
                <w:lang w:val="en-CA"/>
                <w14:textFill>
                  <w14:solidFill>
                    <w14:srgbClr w14:val="353737">
                      <w14:alpha w14:val="30000"/>
                    </w14:srgbClr>
                  </w14:solidFill>
                </w14:textFill>
              </w:rPr>
              <w:t xml:space="preserve">Kazimir Malevitch, </w:t>
            </w:r>
          </w:p>
          <w:p w14:paraId="272E799A" w14:textId="77777777" w:rsidR="00197B97" w:rsidRPr="006D29BF" w:rsidRDefault="00197B97" w:rsidP="006D29BF">
            <w:pPr>
              <w:rPr>
                <w:color w:val="353737"/>
                <w:lang w:val="en-CA"/>
                <w14:textFill>
                  <w14:solidFill>
                    <w14:srgbClr w14:val="353737">
                      <w14:alpha w14:val="30000"/>
                    </w14:srgbClr>
                  </w14:solidFill>
                </w14:textFill>
              </w:rPr>
            </w:pPr>
            <w:r w:rsidRPr="006D29BF">
              <w:rPr>
                <w:i/>
                <w:iCs/>
                <w:color w:val="353737"/>
                <w:lang w:val="en-CA"/>
                <w14:textFill>
                  <w14:solidFill>
                    <w14:srgbClr w14:val="353737">
                      <w14:alpha w14:val="30000"/>
                    </w14:srgbClr>
                  </w14:solidFill>
                </w14:textFill>
              </w:rPr>
              <w:t>Le Bûcheron</w:t>
            </w:r>
            <w:r w:rsidRPr="006D29BF">
              <w:rPr>
                <w:color w:val="353737"/>
                <w:lang w:val="en-CA"/>
                <w14:textFill>
                  <w14:solidFill>
                    <w14:srgbClr w14:val="353737">
                      <w14:alpha w14:val="30000"/>
                    </w14:srgbClr>
                  </w14:solidFill>
                </w14:textFill>
              </w:rPr>
              <w:t>, 1912, 72 x 75 cm, Amsterdam, Stedelijk Museum</w:t>
            </w:r>
          </w:p>
          <w:p w14:paraId="3CFBC0D8" w14:textId="77777777" w:rsidR="00197B97" w:rsidRPr="006D29BF" w:rsidRDefault="00197B97" w:rsidP="006D29BF">
            <w:pPr>
              <w:rPr>
                <w:color w:val="353737"/>
                <w:lang w:val="en-CA"/>
                <w14:textFill>
                  <w14:solidFill>
                    <w14:srgbClr w14:val="353737">
                      <w14:alpha w14:val="30000"/>
                    </w14:srgbClr>
                  </w14:solidFill>
                </w14:textFill>
              </w:rPr>
            </w:pPr>
          </w:p>
        </w:tc>
        <w:tc>
          <w:tcPr>
            <w:tcW w:w="3447" w:type="dxa"/>
          </w:tcPr>
          <w:p w14:paraId="2121E547"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Kazimir Malevitch était un artiste qui a évolué de la figuration vers l’abstraction par un passage stylistique emprunté au cubisme. Dans le contexte du Suprématisme, un mouvement artistique qu’il a fondé en 1915, son approche consistait à s’éloigner de la représentation de la réalité et à se concentrer sur la pureté de la forme et de la couleur.</w:t>
            </w:r>
          </w:p>
        </w:tc>
      </w:tr>
      <w:tr w:rsidR="006D29BF" w:rsidRPr="006D29BF" w14:paraId="26387555" w14:textId="77777777" w:rsidTr="00397508">
        <w:trPr>
          <w:trHeight w:val="597"/>
        </w:trPr>
        <w:tc>
          <w:tcPr>
            <w:tcW w:w="3256" w:type="dxa"/>
          </w:tcPr>
          <w:p w14:paraId="51E6C5AC"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1D3A39A5" w14:textId="77777777" w:rsidR="00197B97" w:rsidRPr="006D29BF" w:rsidRDefault="00197B97" w:rsidP="006D29BF">
            <w:pPr>
              <w:rPr>
                <w:color w:val="353737"/>
                <w:lang w:val="en-CA"/>
                <w14:textFill>
                  <w14:solidFill>
                    <w14:srgbClr w14:val="353737">
                      <w14:alpha w14:val="30000"/>
                    </w14:srgbClr>
                  </w14:solidFill>
                </w14:textFill>
              </w:rPr>
            </w:pPr>
            <w:r w:rsidRPr="006D29BF">
              <w:rPr>
                <w:color w:val="353737"/>
                <w:lang w:val="en-US"/>
                <w14:textFill>
                  <w14:solidFill>
                    <w14:srgbClr w14:val="353737">
                      <w14:alpha w14:val="30000"/>
                    </w14:srgbClr>
                  </w14:solidFill>
                </w14:textFill>
              </w:rPr>
              <w:t>Kazimir Malevitch</w:t>
            </w:r>
            <w:r w:rsidRPr="006D29BF">
              <w:rPr>
                <w:color w:val="353737"/>
                <w:lang w:val="en-CA"/>
                <w14:textFill>
                  <w14:solidFill>
                    <w14:srgbClr w14:val="353737">
                      <w14:alpha w14:val="30000"/>
                    </w14:srgbClr>
                  </w14:solidFill>
                </w14:textFill>
              </w:rPr>
              <w:t xml:space="preserve">, </w:t>
            </w:r>
            <w:r w:rsidRPr="006D29BF">
              <w:rPr>
                <w:i/>
                <w:iCs/>
                <w:color w:val="353737"/>
                <w:lang w:val="en-CA"/>
                <w14:textFill>
                  <w14:solidFill>
                    <w14:srgbClr w14:val="353737">
                      <w14:alpha w14:val="30000"/>
                    </w14:srgbClr>
                  </w14:solidFill>
                </w14:textFill>
              </w:rPr>
              <w:t>Avion en vol</w:t>
            </w:r>
            <w:r w:rsidRPr="006D29BF">
              <w:rPr>
                <w:color w:val="353737"/>
                <w:lang w:val="en-CA"/>
                <w14:textFill>
                  <w14:solidFill>
                    <w14:srgbClr w14:val="353737">
                      <w14:alpha w14:val="30000"/>
                    </w14:srgbClr>
                  </w14:solidFill>
                </w14:textFill>
              </w:rPr>
              <w:t>, 1915, huile sur toile, 58 x 49 cm, New York, Museum of Modern Art</w:t>
            </w:r>
          </w:p>
          <w:p w14:paraId="5DC22078" w14:textId="77777777" w:rsidR="00197B97" w:rsidRPr="006D29BF" w:rsidRDefault="00197B97" w:rsidP="006D29BF">
            <w:pPr>
              <w:rPr>
                <w:color w:val="353737"/>
                <w:lang w:val="en-CA"/>
                <w14:textFill>
                  <w14:solidFill>
                    <w14:srgbClr w14:val="353737">
                      <w14:alpha w14:val="30000"/>
                    </w14:srgbClr>
                  </w14:solidFill>
                </w14:textFill>
              </w:rPr>
            </w:pPr>
          </w:p>
        </w:tc>
        <w:tc>
          <w:tcPr>
            <w:tcW w:w="3447" w:type="dxa"/>
          </w:tcPr>
          <w:p w14:paraId="7B6477E7"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Malevitch a commencé par utiliser des formes géométriques simples comme des carrés, des cercles et des lignes droites dans ses œuvres figuratives avant de les simplifier de </w:t>
            </w:r>
            <w:r w:rsidRPr="006D29BF">
              <w:rPr>
                <w:color w:val="353737"/>
                <w14:textFill>
                  <w14:solidFill>
                    <w14:srgbClr w14:val="353737">
                      <w14:alpha w14:val="30000"/>
                    </w14:srgbClr>
                  </w14:solidFill>
                </w14:textFill>
              </w:rPr>
              <w:lastRenderedPageBreak/>
              <w:t xml:space="preserve">plus en plus jusqu’à leur abstraction totale. </w:t>
            </w:r>
          </w:p>
          <w:p w14:paraId="5858D0BA" w14:textId="77777777" w:rsidR="00197B97" w:rsidRPr="006D29BF" w:rsidRDefault="00197B97" w:rsidP="006D29BF">
            <w:pPr>
              <w:rPr>
                <w:color w:val="353737"/>
                <w14:textFill>
                  <w14:solidFill>
                    <w14:srgbClr w14:val="353737">
                      <w14:alpha w14:val="30000"/>
                    </w14:srgbClr>
                  </w14:solidFill>
                </w14:textFill>
              </w:rPr>
            </w:pPr>
          </w:p>
          <w:p w14:paraId="624C5A7E"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L’artiste utilise la couleur pour elle-même, lui donnant une importance iconique en la considérant presque comme un objet de vénération. Il présente certaines de ses œuvres de manière presque mystique, en mettant en avant l’aspect spirituel de la couleur.</w:t>
            </w:r>
          </w:p>
        </w:tc>
      </w:tr>
      <w:tr w:rsidR="006D29BF" w:rsidRPr="006D29BF" w14:paraId="6E400B3A" w14:textId="77777777" w:rsidTr="00397508">
        <w:trPr>
          <w:trHeight w:val="597"/>
        </w:trPr>
        <w:tc>
          <w:tcPr>
            <w:tcW w:w="3256" w:type="dxa"/>
          </w:tcPr>
          <w:p w14:paraId="5EFA0463"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388720E2"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Kazimir Malevitch, </w:t>
            </w:r>
            <w:r w:rsidRPr="006D29BF">
              <w:rPr>
                <w:i/>
                <w:iCs/>
                <w:color w:val="353737"/>
                <w14:textFill>
                  <w14:solidFill>
                    <w14:srgbClr w14:val="353737">
                      <w14:alpha w14:val="30000"/>
                    </w14:srgbClr>
                  </w14:solidFill>
                </w14:textFill>
              </w:rPr>
              <w:t>Composition suprématiste</w:t>
            </w:r>
            <w:r w:rsidRPr="006D29BF">
              <w:rPr>
                <w:color w:val="353737"/>
                <w14:textFill>
                  <w14:solidFill>
                    <w14:srgbClr w14:val="353737">
                      <w14:alpha w14:val="30000"/>
                    </w14:srgbClr>
                  </w14:solidFill>
                </w14:textFill>
              </w:rPr>
              <w:t>, 1915, huile sur toile, 70 x 47 cm, Fine Arts Museum, Tula</w:t>
            </w:r>
          </w:p>
          <w:p w14:paraId="33054C8D" w14:textId="77777777" w:rsidR="00197B97" w:rsidRPr="006D29BF" w:rsidRDefault="00197B97" w:rsidP="006D29BF">
            <w:pPr>
              <w:rPr>
                <w:color w:val="353737"/>
                <w14:textFill>
                  <w14:solidFill>
                    <w14:srgbClr w14:val="353737">
                      <w14:alpha w14:val="30000"/>
                    </w14:srgbClr>
                  </w14:solidFill>
                </w14:textFill>
              </w:rPr>
            </w:pPr>
          </w:p>
          <w:p w14:paraId="52E72445" w14:textId="77777777" w:rsidR="00634AFC" w:rsidRDefault="00197B97" w:rsidP="006D29BF">
            <w:pPr>
              <w:rPr>
                <w:color w:val="353737"/>
                <w14:textFill>
                  <w14:solidFill>
                    <w14:srgbClr w14:val="353737">
                      <w14:alpha w14:val="30000"/>
                    </w14:srgbClr>
                  </w14:solidFill>
                </w14:textFill>
              </w:rPr>
            </w:pPr>
            <w:r w:rsidRPr="00634AFC">
              <w:rPr>
                <w:rStyle w:val="Heading4Char"/>
              </w:rPr>
              <w:t>Source consultée :</w:t>
            </w:r>
            <w:r w:rsidRPr="006D29BF">
              <w:rPr>
                <w:color w:val="353737"/>
                <w14:textFill>
                  <w14:solidFill>
                    <w14:srgbClr w14:val="353737">
                      <w14:alpha w14:val="30000"/>
                    </w14:srgbClr>
                  </w14:solidFill>
                </w14:textFill>
              </w:rPr>
              <w:t xml:space="preserve"> </w:t>
            </w:r>
          </w:p>
          <w:p w14:paraId="6D569DE1" w14:textId="42585CA6" w:rsidR="00197B97" w:rsidRPr="00634AFC" w:rsidRDefault="00197B97" w:rsidP="00634AFC">
            <w:pPr>
              <w:pStyle w:val="ListParagraph"/>
              <w:numPr>
                <w:ilvl w:val="0"/>
                <w:numId w:val="15"/>
              </w:numPr>
              <w:rPr>
                <w:rFonts w:ascii="Noto Serif" w:hAnsi="Noto Serif" w:cs="Noto Serif"/>
                <w:strike/>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MARENGÈRE, Sylvain. « Qu’est-ce que l’art abstrait », dans </w:t>
            </w:r>
            <w:r w:rsidRPr="00634AFC">
              <w:rPr>
                <w:rFonts w:ascii="Noto Serif" w:hAnsi="Noto Serif" w:cs="Noto Serif"/>
                <w:i/>
                <w:iCs/>
                <w:color w:val="353737"/>
                <w14:textFill>
                  <w14:solidFill>
                    <w14:srgbClr w14:val="353737">
                      <w14:alpha w14:val="30000"/>
                    </w14:srgbClr>
                  </w14:solidFill>
                </w14:textFill>
              </w:rPr>
              <w:t>Guide artistique</w:t>
            </w:r>
            <w:r w:rsidRPr="00634AFC">
              <w:rPr>
                <w:rFonts w:ascii="Noto Serif" w:hAnsi="Noto Serif" w:cs="Noto Serif"/>
                <w:color w:val="353737"/>
                <w14:textFill>
                  <w14:solidFill>
                    <w14:srgbClr w14:val="353737">
                      <w14:alpha w14:val="30000"/>
                    </w14:srgbClr>
                  </w14:solidFill>
                </w14:textFill>
              </w:rPr>
              <w:t>, [En ligne], 2023, [https://www.guide-artistique.com/histoire-art/art-abstrait/].</w:t>
            </w:r>
          </w:p>
          <w:p w14:paraId="2EF3A6B8" w14:textId="77777777" w:rsidR="00197B97" w:rsidRPr="006D29BF" w:rsidRDefault="00197B97" w:rsidP="006D29BF">
            <w:pPr>
              <w:rPr>
                <w:color w:val="353737"/>
                <w14:textFill>
                  <w14:solidFill>
                    <w14:srgbClr w14:val="353737">
                      <w14:alpha w14:val="30000"/>
                    </w14:srgbClr>
                  </w14:solidFill>
                </w14:textFill>
              </w:rPr>
            </w:pPr>
          </w:p>
          <w:p w14:paraId="544F9C90" w14:textId="77777777" w:rsidR="00197B97" w:rsidRPr="006D29BF" w:rsidRDefault="00197B97" w:rsidP="006D29BF">
            <w:pPr>
              <w:rPr>
                <w:color w:val="353737"/>
                <w14:textFill>
                  <w14:solidFill>
                    <w14:srgbClr w14:val="353737">
                      <w14:alpha w14:val="30000"/>
                    </w14:srgbClr>
                  </w14:solidFill>
                </w14:textFill>
              </w:rPr>
            </w:pPr>
          </w:p>
        </w:tc>
        <w:tc>
          <w:tcPr>
            <w:tcW w:w="3447" w:type="dxa"/>
          </w:tcPr>
          <w:p w14:paraId="0D36113D"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Malevitch explore la recherche d’un état d’équilibre total dans l’évolution de la peinture vers l’abstraction. Il utilise des formes géométriques simples et des couleurs sobres pour jouer avec le poids des couleurs et des formes, afin de transmettre cet état d’équilibre parfait dans ses compositions.</w:t>
            </w:r>
          </w:p>
        </w:tc>
      </w:tr>
      <w:tr w:rsidR="006D29BF" w:rsidRPr="006D29BF" w14:paraId="68100405" w14:textId="77777777" w:rsidTr="00397508">
        <w:trPr>
          <w:trHeight w:val="597"/>
        </w:trPr>
        <w:tc>
          <w:tcPr>
            <w:tcW w:w="3256" w:type="dxa"/>
          </w:tcPr>
          <w:p w14:paraId="29FBA782"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3655EE62"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Kazimir Malevitch. </w:t>
            </w:r>
            <w:r w:rsidRPr="006D29BF">
              <w:rPr>
                <w:i/>
                <w:iCs/>
                <w:color w:val="353737"/>
                <w14:textFill>
                  <w14:solidFill>
                    <w14:srgbClr w14:val="353737">
                      <w14:alpha w14:val="30000"/>
                    </w14:srgbClr>
                  </w14:solidFill>
                </w14:textFill>
              </w:rPr>
              <w:t>Carré noir sur fond blanc</w:t>
            </w:r>
            <w:r w:rsidRPr="006D29BF">
              <w:rPr>
                <w:color w:val="353737"/>
                <w14:textFill>
                  <w14:solidFill>
                    <w14:srgbClr w14:val="353737">
                      <w14:alpha w14:val="30000"/>
                    </w14:srgbClr>
                  </w14:solidFill>
                </w14:textFill>
              </w:rPr>
              <w:t>, 1915, huile sur toile, 79,5 x 79,5 cm, Galerie Tretiakov, XX</w:t>
            </w:r>
            <w:r w:rsidRPr="006D29BF">
              <w:rPr>
                <w:color w:val="353737"/>
                <w:vertAlign w:val="superscript"/>
                <w14:textFill>
                  <w14:solidFill>
                    <w14:srgbClr w14:val="353737">
                      <w14:alpha w14:val="30000"/>
                    </w14:srgbClr>
                  </w14:solidFill>
                </w14:textFill>
              </w:rPr>
              <w:t>e</w:t>
            </w:r>
            <w:r w:rsidRPr="006D29BF">
              <w:rPr>
                <w:color w:val="353737"/>
                <w14:textFill>
                  <w14:solidFill>
                    <w14:srgbClr w14:val="353737">
                      <w14:alpha w14:val="30000"/>
                    </w14:srgbClr>
                  </w14:solidFill>
                </w14:textFill>
              </w:rPr>
              <w:t> siècle, Moscou (Russie)</w:t>
            </w:r>
          </w:p>
          <w:p w14:paraId="19A6FC5F" w14:textId="77777777" w:rsidR="00197B97" w:rsidRPr="006D29BF" w:rsidRDefault="00197B97" w:rsidP="006D29BF">
            <w:pPr>
              <w:rPr>
                <w:color w:val="353737"/>
                <w14:textFill>
                  <w14:solidFill>
                    <w14:srgbClr w14:val="353737">
                      <w14:alpha w14:val="30000"/>
                    </w14:srgbClr>
                  </w14:solidFill>
                </w14:textFill>
              </w:rPr>
            </w:pPr>
          </w:p>
          <w:p w14:paraId="362C8907" w14:textId="77777777" w:rsidR="00197B97" w:rsidRPr="006D29BF" w:rsidRDefault="00197B97" w:rsidP="006D29BF">
            <w:pPr>
              <w:rPr>
                <w:color w:val="353737"/>
                <w14:textFill>
                  <w14:solidFill>
                    <w14:srgbClr w14:val="353737">
                      <w14:alpha w14:val="30000"/>
                    </w14:srgbClr>
                  </w14:solidFill>
                </w14:textFill>
              </w:rPr>
            </w:pPr>
          </w:p>
          <w:p w14:paraId="65919414" w14:textId="77777777" w:rsidR="00197B97" w:rsidRPr="006D29BF" w:rsidRDefault="00197B97" w:rsidP="00634AFC">
            <w:pPr>
              <w:pStyle w:val="Heading4"/>
            </w:pPr>
            <w:r w:rsidRPr="006D29BF">
              <w:t xml:space="preserve">Source consultée : </w:t>
            </w:r>
          </w:p>
          <w:p w14:paraId="1CEAA87F" w14:textId="77777777" w:rsidR="00197B97" w:rsidRPr="00634AFC" w:rsidRDefault="00197B97" w:rsidP="00634AFC">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CENTRE POMPIDOU, Kazimir Malevitch</w:t>
            </w:r>
            <w:r w:rsidRPr="00634AFC">
              <w:rPr>
                <w:rFonts w:ascii="Noto Serif" w:hAnsi="Noto Serif" w:cs="Noto Serif"/>
                <w:i/>
                <w:iCs/>
                <w:color w:val="353737"/>
                <w14:textFill>
                  <w14:solidFill>
                    <w14:srgbClr w14:val="353737">
                      <w14:alpha w14:val="30000"/>
                    </w14:srgbClr>
                  </w14:solidFill>
                </w14:textFill>
              </w:rPr>
              <w:t>, Carré noir [1923 - 1930]</w:t>
            </w:r>
            <w:r w:rsidRPr="00634AFC">
              <w:rPr>
                <w:rFonts w:ascii="Noto Serif" w:hAnsi="Noto Serif" w:cs="Noto Serif"/>
                <w:color w:val="353737"/>
                <w14:textFill>
                  <w14:solidFill>
                    <w14:srgbClr w14:val="353737">
                      <w14:alpha w14:val="30000"/>
                    </w14:srgbClr>
                  </w14:solidFill>
                </w14:textFill>
              </w:rPr>
              <w:t>, [</w:t>
            </w:r>
            <w:hyperlink r:id="rId12" w:history="1">
              <w:r w:rsidRPr="00634AFC">
                <w:rPr>
                  <w:rFonts w:ascii="Noto Serif" w:hAnsi="Noto Serif" w:cs="Noto Serif"/>
                  <w:color w:val="353737"/>
                  <w14:textFill>
                    <w14:solidFill>
                      <w14:srgbClr w14:val="353737">
                        <w14:alpha w14:val="30000"/>
                      </w14:srgbClr>
                    </w14:solidFill>
                  </w14:textFill>
                </w:rPr>
                <w:t>https://www.centrepompidou.fr/fr/ressources/oeuvre/0LxJOIY</w:t>
              </w:r>
            </w:hyperlink>
            <w:r w:rsidRPr="00634AFC">
              <w:rPr>
                <w:rFonts w:ascii="Noto Serif" w:hAnsi="Noto Serif" w:cs="Noto Serif"/>
                <w:color w:val="353737"/>
                <w14:textFill>
                  <w14:solidFill>
                    <w14:srgbClr w14:val="353737">
                      <w14:alpha w14:val="30000"/>
                    </w14:srgbClr>
                  </w14:solidFill>
                </w14:textFill>
              </w:rPr>
              <w:t>].</w:t>
            </w:r>
          </w:p>
          <w:p w14:paraId="714ED2D2" w14:textId="77777777" w:rsidR="00197B97" w:rsidRPr="006D29BF" w:rsidRDefault="00197B97" w:rsidP="006D29BF">
            <w:pPr>
              <w:rPr>
                <w:color w:val="353737"/>
                <w14:textFill>
                  <w14:solidFill>
                    <w14:srgbClr w14:val="353737">
                      <w14:alpha w14:val="30000"/>
                    </w14:srgbClr>
                  </w14:solidFill>
                </w14:textFill>
              </w:rPr>
            </w:pPr>
          </w:p>
        </w:tc>
        <w:tc>
          <w:tcPr>
            <w:tcW w:w="3447" w:type="dxa"/>
          </w:tcPr>
          <w:p w14:paraId="77FAB573"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Kazimir Malevitch utilise le carré comme unité fondamentale d’un nouveau langage pictural qui rompt avec la représentation figurative. C’est dans l’opéra cuba-futuriste de Mikhaïl Matiouchine intitulé La Victoire sur le soleil que le carré noir apparaît en 1913 pour la première fois dans la confection de costumes et des décors conçus par Kazimir Malevitch. L’artiste crée ainsi un signe universel, une traduction d’un espace cosmique infini, un « zéro des formes ». Le carré noir légèrement décalé sur fond blanc produit un effet de profondeur.</w:t>
            </w:r>
          </w:p>
        </w:tc>
      </w:tr>
      <w:tr w:rsidR="006D29BF" w:rsidRPr="006D29BF" w14:paraId="5E278A24" w14:textId="77777777" w:rsidTr="00397508">
        <w:trPr>
          <w:trHeight w:val="597"/>
        </w:trPr>
        <w:tc>
          <w:tcPr>
            <w:tcW w:w="3256" w:type="dxa"/>
          </w:tcPr>
          <w:p w14:paraId="49772EC6" w14:textId="77777777" w:rsidR="00197B97" w:rsidRPr="006D29BF" w:rsidRDefault="00197B97" w:rsidP="006D29BF">
            <w:pPr>
              <w:rPr>
                <w:color w:val="353737"/>
                <w14:textFill>
                  <w14:solidFill>
                    <w14:srgbClr w14:val="353737">
                      <w14:alpha w14:val="30000"/>
                    </w14:srgbClr>
                  </w14:solidFill>
                </w14:textFill>
              </w:rPr>
            </w:pPr>
          </w:p>
        </w:tc>
        <w:tc>
          <w:tcPr>
            <w:tcW w:w="2551" w:type="dxa"/>
          </w:tcPr>
          <w:p w14:paraId="7C4A3E8A"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t xml:space="preserve">Kazimir Malevitch, </w:t>
            </w:r>
            <w:r w:rsidRPr="006D29BF">
              <w:rPr>
                <w:i/>
                <w:iCs/>
                <w:color w:val="353737"/>
                <w14:textFill>
                  <w14:solidFill>
                    <w14:srgbClr w14:val="353737">
                      <w14:alpha w14:val="30000"/>
                    </w14:srgbClr>
                  </w14:solidFill>
                </w14:textFill>
              </w:rPr>
              <w:t>Carré blanc sur fond blanc</w:t>
            </w:r>
            <w:r w:rsidRPr="006D29BF">
              <w:rPr>
                <w:color w:val="353737"/>
                <w14:textFill>
                  <w14:solidFill>
                    <w14:srgbClr w14:val="353737">
                      <w14:alpha w14:val="30000"/>
                    </w14:srgbClr>
                  </w14:solidFill>
                </w14:textFill>
              </w:rPr>
              <w:t>, 1918</w:t>
            </w:r>
          </w:p>
          <w:p w14:paraId="474E2174" w14:textId="77777777" w:rsidR="00197B97" w:rsidRPr="006D29BF" w:rsidRDefault="00197B97" w:rsidP="006D29BF">
            <w:pPr>
              <w:rPr>
                <w:color w:val="353737"/>
                <w14:textFill>
                  <w14:solidFill>
                    <w14:srgbClr w14:val="353737">
                      <w14:alpha w14:val="30000"/>
                    </w14:srgbClr>
                  </w14:solidFill>
                </w14:textFill>
              </w:rPr>
            </w:pPr>
          </w:p>
          <w:p w14:paraId="1B663995" w14:textId="77777777" w:rsidR="00197B97" w:rsidRPr="006D29BF" w:rsidRDefault="00197B97" w:rsidP="006D29BF">
            <w:pPr>
              <w:rPr>
                <w:color w:val="353737"/>
                <w14:textFill>
                  <w14:solidFill>
                    <w14:srgbClr w14:val="353737">
                      <w14:alpha w14:val="30000"/>
                    </w14:srgbClr>
                  </w14:solidFill>
                </w14:textFill>
              </w:rPr>
            </w:pPr>
          </w:p>
          <w:p w14:paraId="3BBBC5D2" w14:textId="77777777" w:rsidR="00197B97" w:rsidRPr="006D29BF" w:rsidRDefault="00197B97" w:rsidP="006D29BF">
            <w:pPr>
              <w:rPr>
                <w:color w:val="353737"/>
                <w14:textFill>
                  <w14:solidFill>
                    <w14:srgbClr w14:val="353737">
                      <w14:alpha w14:val="30000"/>
                    </w14:srgbClr>
                  </w14:solidFill>
                </w14:textFill>
              </w:rPr>
            </w:pPr>
          </w:p>
          <w:p w14:paraId="245007D4" w14:textId="77777777" w:rsidR="00634AFC" w:rsidRDefault="00197B97" w:rsidP="006D29BF">
            <w:pPr>
              <w:rPr>
                <w:color w:val="353737"/>
                <w14:textFill>
                  <w14:solidFill>
                    <w14:srgbClr w14:val="353737">
                      <w14:alpha w14:val="30000"/>
                    </w14:srgbClr>
                  </w14:solidFill>
                </w14:textFill>
              </w:rPr>
            </w:pPr>
            <w:r w:rsidRPr="00634AFC">
              <w:rPr>
                <w:rStyle w:val="Heading4Char"/>
              </w:rPr>
              <w:t>Source consultée :</w:t>
            </w:r>
            <w:r w:rsidRPr="006D29BF">
              <w:rPr>
                <w:color w:val="353737"/>
                <w14:textFill>
                  <w14:solidFill>
                    <w14:srgbClr w14:val="353737">
                      <w14:alpha w14:val="30000"/>
                    </w14:srgbClr>
                  </w14:solidFill>
                </w14:textFill>
              </w:rPr>
              <w:t xml:space="preserve"> </w:t>
            </w:r>
          </w:p>
          <w:p w14:paraId="2DA0E813" w14:textId="6D45A822" w:rsidR="00197B97" w:rsidRPr="00634AFC" w:rsidRDefault="00197B97" w:rsidP="00634AFC">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634AFC">
              <w:rPr>
                <w:rFonts w:ascii="Noto Serif" w:hAnsi="Noto Serif" w:cs="Noto Serif"/>
                <w:color w:val="353737"/>
                <w14:textFill>
                  <w14:solidFill>
                    <w14:srgbClr w14:val="353737">
                      <w14:alpha w14:val="30000"/>
                    </w14:srgbClr>
                  </w14:solidFill>
                </w14:textFill>
              </w:rPr>
              <w:t xml:space="preserve">MARENGÈRE, Sylvain. « Qu’est-ce que l’art abstrait », </w:t>
            </w:r>
            <w:r w:rsidRPr="00634AFC">
              <w:rPr>
                <w:rFonts w:ascii="Noto Serif" w:hAnsi="Noto Serif" w:cs="Noto Serif"/>
                <w:color w:val="353737"/>
                <w14:textFill>
                  <w14:solidFill>
                    <w14:srgbClr w14:val="353737">
                      <w14:alpha w14:val="30000"/>
                    </w14:srgbClr>
                  </w14:solidFill>
                </w14:textFill>
              </w:rPr>
              <w:lastRenderedPageBreak/>
              <w:t xml:space="preserve">dans </w:t>
            </w:r>
            <w:r w:rsidRPr="00634AFC">
              <w:rPr>
                <w:rFonts w:ascii="Noto Serif" w:hAnsi="Noto Serif" w:cs="Noto Serif"/>
                <w:i/>
                <w:iCs/>
                <w:color w:val="353737"/>
                <w14:textFill>
                  <w14:solidFill>
                    <w14:srgbClr w14:val="353737">
                      <w14:alpha w14:val="30000"/>
                    </w14:srgbClr>
                  </w14:solidFill>
                </w14:textFill>
              </w:rPr>
              <w:t>Guide artistique</w:t>
            </w:r>
            <w:r w:rsidRPr="00634AFC">
              <w:rPr>
                <w:rFonts w:ascii="Noto Serif" w:hAnsi="Noto Serif" w:cs="Noto Serif"/>
                <w:color w:val="353737"/>
                <w14:textFill>
                  <w14:solidFill>
                    <w14:srgbClr w14:val="353737">
                      <w14:alpha w14:val="30000"/>
                    </w14:srgbClr>
                  </w14:solidFill>
                </w14:textFill>
              </w:rPr>
              <w:t>, [En ligne], 2023, [https://www.guide-artistique.com/histoire-art/art-abstrait/].</w:t>
            </w:r>
          </w:p>
          <w:p w14:paraId="10F3F221" w14:textId="77777777" w:rsidR="00197B97" w:rsidRPr="006D29BF" w:rsidRDefault="00197B97" w:rsidP="006D29BF">
            <w:pPr>
              <w:rPr>
                <w:color w:val="353737"/>
                <w14:textFill>
                  <w14:solidFill>
                    <w14:srgbClr w14:val="353737">
                      <w14:alpha w14:val="30000"/>
                    </w14:srgbClr>
                  </w14:solidFill>
                </w14:textFill>
              </w:rPr>
            </w:pPr>
          </w:p>
          <w:p w14:paraId="799C8B91" w14:textId="77777777" w:rsidR="00197B97" w:rsidRPr="006D29BF" w:rsidRDefault="00197B97" w:rsidP="006D29BF">
            <w:pPr>
              <w:rPr>
                <w:color w:val="353737"/>
                <w14:textFill>
                  <w14:solidFill>
                    <w14:srgbClr w14:val="353737">
                      <w14:alpha w14:val="30000"/>
                    </w14:srgbClr>
                  </w14:solidFill>
                </w14:textFill>
              </w:rPr>
            </w:pPr>
          </w:p>
        </w:tc>
        <w:tc>
          <w:tcPr>
            <w:tcW w:w="3447" w:type="dxa"/>
          </w:tcPr>
          <w:p w14:paraId="05A320A2" w14:textId="77777777" w:rsidR="00197B97" w:rsidRPr="006D29BF" w:rsidRDefault="00197B97" w:rsidP="006D29BF">
            <w:pPr>
              <w:rPr>
                <w:color w:val="353737"/>
                <w14:textFill>
                  <w14:solidFill>
                    <w14:srgbClr w14:val="353737">
                      <w14:alpha w14:val="30000"/>
                    </w14:srgbClr>
                  </w14:solidFill>
                </w14:textFill>
              </w:rPr>
            </w:pPr>
            <w:r w:rsidRPr="006D29BF">
              <w:rPr>
                <w:color w:val="353737"/>
                <w14:textFill>
                  <w14:solidFill>
                    <w14:srgbClr w14:val="353737">
                      <w14:alpha w14:val="30000"/>
                    </w14:srgbClr>
                  </w14:solidFill>
                </w14:textFill>
              </w:rPr>
              <w:lastRenderedPageBreak/>
              <w:t xml:space="preserve">Le carré blanc sur fond blanc de Malevitch est l’emblème le plus représentatif du mouvement Suprématiste. Son intention est de donner à la peinture une autonomie spirituelle et sensible par rapport à la réalité extérieure, pour vivre la peinture pour elle-même. En adaptant la </w:t>
            </w:r>
            <w:r w:rsidRPr="006D29BF">
              <w:rPr>
                <w:color w:val="353737"/>
                <w14:textFill>
                  <w14:solidFill>
                    <w14:srgbClr w14:val="353737">
                      <w14:alpha w14:val="30000"/>
                    </w14:srgbClr>
                  </w14:solidFill>
                </w14:textFill>
              </w:rPr>
              <w:lastRenderedPageBreak/>
              <w:t>philosophie nihiliste (*) russe à l’art, Malevitch rejette les formes de peinture existantes et commence une recherche à partir de rien, pour créer une peinture qui soit pure sensation et sensibilité picturale. Dans cette quête de pureté, Malevitch dépouille la peinture de tout ce qui n’est pas essentiel pour exprimer pleinement sa nature.</w:t>
            </w:r>
          </w:p>
        </w:tc>
      </w:tr>
    </w:tbl>
    <w:p w14:paraId="2DEB7620" w14:textId="77777777" w:rsidR="00197B97" w:rsidRDefault="00197B97" w:rsidP="00197B97">
      <w:pPr>
        <w:rPr>
          <w:rFonts w:ascii="Arial" w:hAnsi="Arial" w:cs="Arial"/>
          <w:color w:val="000000" w:themeColor="text1"/>
        </w:rPr>
      </w:pPr>
    </w:p>
    <w:p w14:paraId="13425AAB" w14:textId="77777777" w:rsidR="00DF6973" w:rsidRPr="00B51BF0" w:rsidRDefault="00DF6973" w:rsidP="00197B97">
      <w:pPr>
        <w:rPr>
          <w:rFonts w:ascii="Arial" w:hAnsi="Arial" w:cs="Arial"/>
          <w:color w:val="000000" w:themeColor="text1"/>
        </w:rPr>
      </w:pPr>
    </w:p>
    <w:p w14:paraId="3D1F6472" w14:textId="77777777" w:rsidR="00197B97" w:rsidRPr="00197B97" w:rsidRDefault="00197B97" w:rsidP="00197B97">
      <w:pPr>
        <w:pStyle w:val="Heading3"/>
      </w:pPr>
      <w:r w:rsidRPr="00197B97">
        <w:t xml:space="preserve">Sources consultées : </w:t>
      </w:r>
    </w:p>
    <w:p w14:paraId="785D3371" w14:textId="77777777" w:rsidR="00197B97" w:rsidRPr="004E792A" w:rsidRDefault="00197B97" w:rsidP="00490AC0">
      <w:pPr>
        <w:pStyle w:val="ListParagraph"/>
        <w:numPr>
          <w:ilvl w:val="0"/>
          <w:numId w:val="14"/>
        </w:numPr>
        <w:rPr>
          <w:rFonts w:ascii="Noto Serif" w:hAnsi="Noto Serif" w:cs="Noto Serif"/>
          <w:b/>
          <w:bCs/>
          <w:strike/>
          <w:color w:val="353737"/>
          <w14:textFill>
            <w14:solidFill>
              <w14:srgbClr w14:val="353737">
                <w14:alpha w14:val="30000"/>
              </w14:srgbClr>
            </w14:solidFill>
          </w14:textFill>
        </w:rPr>
      </w:pPr>
      <w:r w:rsidRPr="004E792A">
        <w:rPr>
          <w:rFonts w:ascii="Noto Serif" w:hAnsi="Noto Serif" w:cs="Noto Serif"/>
          <w:color w:val="353737"/>
          <w14:textFill>
            <w14:solidFill>
              <w14:srgbClr w14:val="353737">
                <w14:alpha w14:val="30000"/>
              </w14:srgbClr>
            </w14:solidFill>
          </w14:textFill>
        </w:rPr>
        <w:t>(X) Sylvain Marengère, Arts3, Qu’est-ce que l’art abstrait, Guide artistique, https://www.guide-artistique.com/histoire-art/art-abstrait/</w:t>
      </w:r>
    </w:p>
    <w:p w14:paraId="2A8B6193" w14:textId="77777777" w:rsidR="00197B97" w:rsidRPr="004E792A" w:rsidRDefault="00197B97" w:rsidP="00EA2C63">
      <w:pPr>
        <w:rPr>
          <w:rFonts w:cs="Noto Serif"/>
          <w:b/>
          <w:bCs/>
          <w:color w:val="353737"/>
          <w14:textFill>
            <w14:solidFill>
              <w14:srgbClr w14:val="353737">
                <w14:alpha w14:val="30000"/>
              </w14:srgbClr>
            </w14:solidFill>
          </w14:textFill>
        </w:rPr>
      </w:pPr>
    </w:p>
    <w:p w14:paraId="402B110E" w14:textId="77777777" w:rsidR="00197B97" w:rsidRPr="004E792A" w:rsidRDefault="00197B97" w:rsidP="00490AC0">
      <w:pPr>
        <w:pStyle w:val="ListParagraph"/>
        <w:numPr>
          <w:ilvl w:val="0"/>
          <w:numId w:val="14"/>
        </w:numPr>
        <w:rPr>
          <w:rFonts w:ascii="Noto Serif" w:hAnsi="Noto Serif" w:cs="Noto Serif"/>
          <w:color w:val="353737"/>
          <w14:textFill>
            <w14:solidFill>
              <w14:srgbClr w14:val="353737">
                <w14:alpha w14:val="30000"/>
              </w14:srgbClr>
            </w14:solidFill>
          </w14:textFill>
        </w:rPr>
      </w:pPr>
      <w:r w:rsidRPr="004E792A">
        <w:rPr>
          <w:rFonts w:ascii="Noto Serif" w:hAnsi="Noto Serif" w:cs="Noto Serif"/>
          <w:color w:val="353737"/>
          <w14:textFill>
            <w14:solidFill>
              <w14:srgbClr w14:val="353737">
                <w14:alpha w14:val="30000"/>
              </w14:srgbClr>
            </w14:solidFill>
          </w14:textFill>
        </w:rPr>
        <w:t>(3)</w:t>
      </w:r>
      <w:r w:rsidRPr="004E792A">
        <w:rPr>
          <w:rFonts w:ascii="Noto Serif" w:hAnsi="Noto Serif" w:cs="Noto Serif"/>
          <w:color w:val="353737"/>
          <w:shd w:val="clear" w:color="auto" w:fill="FFFFFF"/>
          <w14:textFill>
            <w14:solidFill>
              <w14:srgbClr w14:val="353737">
                <w14:alpha w14:val="30000"/>
              </w14:srgbClr>
            </w14:solidFill>
          </w14:textFill>
        </w:rPr>
        <w:t xml:space="preserve"> </w:t>
      </w:r>
      <w:r w:rsidRPr="004E792A">
        <w:rPr>
          <w:rFonts w:ascii="Noto Serif" w:hAnsi="Noto Serif" w:cs="Noto Serif"/>
          <w:color w:val="353737"/>
          <w14:textFill>
            <w14:solidFill>
              <w14:srgbClr w14:val="353737">
                <w14:alpha w14:val="30000"/>
              </w14:srgbClr>
            </w14:solidFill>
          </w14:textFill>
        </w:rPr>
        <w:t>Denys RIOUT, « ABSTRAIT ART », </w:t>
      </w:r>
      <w:r w:rsidRPr="004E792A">
        <w:rPr>
          <w:rFonts w:ascii="Noto Serif" w:hAnsi="Noto Serif" w:cs="Noto Serif"/>
          <w:i/>
          <w:iCs/>
          <w:color w:val="353737"/>
          <w14:textFill>
            <w14:solidFill>
              <w14:srgbClr w14:val="353737">
                <w14:alpha w14:val="30000"/>
              </w14:srgbClr>
            </w14:solidFill>
          </w14:textFill>
        </w:rPr>
        <w:t>Encyclopædia Universalis</w:t>
      </w:r>
      <w:r w:rsidRPr="004E792A">
        <w:rPr>
          <w:rFonts w:ascii="Noto Serif" w:hAnsi="Noto Serif" w:cs="Noto Serif"/>
          <w:color w:val="353737"/>
          <w14:textFill>
            <w14:solidFill>
              <w14:srgbClr w14:val="353737">
                <w14:alpha w14:val="30000"/>
              </w14:srgbClr>
            </w14:solidFill>
          </w14:textFill>
        </w:rPr>
        <w:t> [en ligne], consulté le 1 mars 2023. URL : </w:t>
      </w:r>
      <w:hyperlink r:id="rId13" w:history="1">
        <w:r w:rsidRPr="004E792A">
          <w:rPr>
            <w:rStyle w:val="Hyperlink"/>
            <w:rFonts w:ascii="Noto Serif" w:hAnsi="Noto Serif" w:cs="Noto Serif"/>
            <w:color w:val="353737"/>
            <w14:textFill>
              <w14:solidFill>
                <w14:srgbClr w14:val="353737">
                  <w14:alpha w14:val="30000"/>
                </w14:srgbClr>
              </w14:solidFill>
            </w14:textFill>
          </w:rPr>
          <w:t>https://universalis-rdl.proxy.collecto.ca/encyclopedie/art-abstrait/</w:t>
        </w:r>
      </w:hyperlink>
    </w:p>
    <w:p w14:paraId="4F3A18F5" w14:textId="77777777" w:rsidR="00197B97" w:rsidRPr="004E792A" w:rsidRDefault="00197B97" w:rsidP="00490AC0">
      <w:pPr>
        <w:pStyle w:val="ListParagraph"/>
        <w:numPr>
          <w:ilvl w:val="0"/>
          <w:numId w:val="14"/>
        </w:numPr>
        <w:rPr>
          <w:rFonts w:ascii="Noto Serif" w:hAnsi="Noto Serif" w:cs="Noto Serif"/>
          <w:color w:val="353737"/>
          <w14:textFill>
            <w14:solidFill>
              <w14:srgbClr w14:val="353737">
                <w14:alpha w14:val="30000"/>
              </w14:srgbClr>
            </w14:solidFill>
          </w14:textFill>
        </w:rPr>
      </w:pPr>
      <w:r w:rsidRPr="004E792A">
        <w:rPr>
          <w:rFonts w:ascii="Noto Serif" w:hAnsi="Noto Serif" w:cs="Noto Serif"/>
          <w:color w:val="353737"/>
          <w14:textFill>
            <w14:solidFill>
              <w14:srgbClr w14:val="353737">
                <w14:alpha w14:val="30000"/>
              </w14:srgbClr>
            </w14:solidFill>
          </w14:textFill>
        </w:rPr>
        <w:t>Y.-A. BOIS, « Malévitch, le carré, le degré zéro », in Macula, no 1, 1976 ; « Strzeminski et Kobro : en quête de la motivation », in Critique, no 440-441, janv.-févr. 1984</w:t>
      </w:r>
    </w:p>
    <w:p w14:paraId="02DC44CD" w14:textId="5065FA95" w:rsidR="00197B97" w:rsidRPr="004E792A" w:rsidRDefault="00197B97" w:rsidP="00490AC0">
      <w:pPr>
        <w:pStyle w:val="ListParagraph"/>
        <w:numPr>
          <w:ilvl w:val="0"/>
          <w:numId w:val="14"/>
        </w:numPr>
        <w:rPr>
          <w:rFonts w:ascii="Noto Serif" w:hAnsi="Noto Serif" w:cs="Noto Serif"/>
          <w:color w:val="353737"/>
          <w14:textFill>
            <w14:solidFill>
              <w14:srgbClr w14:val="353737">
                <w14:alpha w14:val="30000"/>
              </w14:srgbClr>
            </w14:solidFill>
          </w14:textFill>
        </w:rPr>
      </w:pPr>
      <w:r w:rsidRPr="004E792A">
        <w:rPr>
          <w:rFonts w:ascii="Noto Serif" w:hAnsi="Noto Serif" w:cs="Noto Serif"/>
          <w:color w:val="353737"/>
          <w14:textFill>
            <w14:solidFill>
              <w14:srgbClr w14:val="353737">
                <w14:alpha w14:val="30000"/>
              </w14:srgbClr>
            </w14:solidFill>
          </w14:textFill>
        </w:rPr>
        <w:t>BONFAND, L'Art abstrait, coll. Que sais-je ?, P.U.F, Paris, 1994</w:t>
      </w:r>
    </w:p>
    <w:p w14:paraId="57481F20" w14:textId="77777777" w:rsidR="00197B97" w:rsidRPr="004E792A" w:rsidRDefault="00197B97" w:rsidP="00EA2C63">
      <w:pPr>
        <w:rPr>
          <w:rFonts w:cs="Noto Serif"/>
          <w:color w:val="353737"/>
          <w14:textFill>
            <w14:solidFill>
              <w14:srgbClr w14:val="353737">
                <w14:alpha w14:val="30000"/>
              </w14:srgbClr>
            </w14:solidFill>
          </w14:textFill>
        </w:rPr>
      </w:pPr>
    </w:p>
    <w:p w14:paraId="04DEE061" w14:textId="77777777" w:rsidR="00197B97" w:rsidRPr="004E792A" w:rsidRDefault="00197B97" w:rsidP="00490AC0">
      <w:pPr>
        <w:pStyle w:val="ListParagraph"/>
        <w:numPr>
          <w:ilvl w:val="0"/>
          <w:numId w:val="14"/>
        </w:numPr>
        <w:rPr>
          <w:rFonts w:ascii="Noto Serif" w:hAnsi="Noto Serif" w:cs="Noto Serif"/>
          <w:color w:val="353737"/>
          <w:lang w:val="en-US"/>
          <w14:textFill>
            <w14:solidFill>
              <w14:srgbClr w14:val="353737">
                <w14:alpha w14:val="30000"/>
              </w14:srgbClr>
            </w14:solidFill>
          </w14:textFill>
        </w:rPr>
      </w:pPr>
      <w:r w:rsidRPr="004E792A">
        <w:rPr>
          <w:rFonts w:ascii="Noto Serif" w:hAnsi="Noto Serif" w:cs="Noto Serif"/>
          <w:color w:val="353737"/>
          <w:lang w:val="en-US"/>
          <w14:textFill>
            <w14:solidFill>
              <w14:srgbClr w14:val="353737">
                <w14:alpha w14:val="30000"/>
              </w14:srgbClr>
            </w14:solidFill>
          </w14:textFill>
        </w:rPr>
        <w:t>(X) Kupka – Pioneer of Abstract Art I ARTE.tv Culture, Youtube Available  until the 25/01/2023https://www.youtube.com/watch?v=yBEd4l5UwU8&amp;t=189s</w:t>
      </w:r>
    </w:p>
    <w:p w14:paraId="755293DF" w14:textId="77777777" w:rsidR="00197B97" w:rsidRPr="00EA2C63" w:rsidRDefault="00197B97" w:rsidP="00EA2C63">
      <w:pPr>
        <w:rPr>
          <w:strike/>
          <w:color w:val="353737"/>
          <w:lang w:val="en-US"/>
          <w14:textFill>
            <w14:solidFill>
              <w14:srgbClr w14:val="353737">
                <w14:alpha w14:val="30000"/>
              </w14:srgbClr>
            </w14:solidFill>
          </w14:textFill>
        </w:rPr>
      </w:pPr>
    </w:p>
    <w:p w14:paraId="7BFFB969" w14:textId="77777777" w:rsidR="00197B97" w:rsidRPr="006D29BF" w:rsidRDefault="00197B97" w:rsidP="006D29BF">
      <w:pPr>
        <w:pStyle w:val="ListParagraph"/>
        <w:numPr>
          <w:ilvl w:val="0"/>
          <w:numId w:val="14"/>
        </w:numPr>
        <w:rPr>
          <w:rFonts w:ascii="Noto Serif" w:hAnsi="Noto Serif" w:cs="Noto Serif"/>
          <w:strike/>
          <w:color w:val="353737"/>
          <w14:textFill>
            <w14:solidFill>
              <w14:srgbClr w14:val="353737">
                <w14:alpha w14:val="30000"/>
              </w14:srgbClr>
            </w14:solidFill>
          </w14:textFill>
        </w:rPr>
      </w:pPr>
      <w:r w:rsidRPr="006D29BF">
        <w:rPr>
          <w:rFonts w:ascii="Noto Serif" w:hAnsi="Noto Serif" w:cs="Noto Serif"/>
          <w:color w:val="353737"/>
          <w14:textFill>
            <w14:solidFill>
              <w14:srgbClr w14:val="353737">
                <w14:alpha w14:val="30000"/>
              </w14:srgbClr>
            </w14:solidFill>
          </w14:textFill>
        </w:rPr>
        <w:t xml:space="preserve">(X) Centre Pompidou, Parcours pédagogique (2011) </w:t>
      </w:r>
      <w:r w:rsidRPr="006D29BF">
        <w:rPr>
          <w:rFonts w:ascii="Noto Serif" w:hAnsi="Noto Serif" w:cs="Noto Serif"/>
          <w:i/>
          <w:iCs/>
          <w:color w:val="353737"/>
          <w14:textFill>
            <w14:solidFill>
              <w14:srgbClr w14:val="353737">
                <w14:alpha w14:val="30000"/>
              </w14:srgbClr>
            </w14:solidFill>
          </w14:textFill>
        </w:rPr>
        <w:t>Mondrian/De Still,</w:t>
      </w:r>
      <w:r w:rsidRPr="006D29BF">
        <w:rPr>
          <w:rFonts w:ascii="Noto Serif" w:hAnsi="Noto Serif" w:cs="Noto Serif"/>
          <w:color w:val="353737"/>
          <w14:textFill>
            <w14:solidFill>
              <w14:srgbClr w14:val="353737">
                <w14:alpha w14:val="30000"/>
              </w14:srgbClr>
            </w14:solidFill>
          </w14:textFill>
        </w:rPr>
        <w:t xml:space="preserve"> http://mediation.centrepompidou.fr/education/ressources/ENS-mondrian/ENS-mondrian.html</w:t>
      </w:r>
    </w:p>
    <w:p w14:paraId="5E23F680" w14:textId="77777777" w:rsidR="00197B97" w:rsidRPr="00F77902" w:rsidRDefault="00197B97" w:rsidP="002510B4">
      <w:pPr>
        <w:rPr>
          <w:rFonts w:ascii="Arial" w:hAnsi="Arial" w:cs="Arial"/>
        </w:rPr>
      </w:pPr>
    </w:p>
    <w:sectPr w:rsidR="00197B97" w:rsidRPr="00F77902" w:rsidSect="002F12A8">
      <w:headerReference w:type="default" r:id="rId14"/>
      <w:footerReference w:type="default" r:id="rId15"/>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5AEC" w14:textId="77777777" w:rsidR="00C17FCF" w:rsidRDefault="00C17FCF">
      <w:r>
        <w:separator/>
      </w:r>
    </w:p>
  </w:endnote>
  <w:endnote w:type="continuationSeparator" w:id="0">
    <w:p w14:paraId="46FAFE97" w14:textId="77777777" w:rsidR="00C17FCF" w:rsidRDefault="00C1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2F12A8"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2F12A8"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0C1D" w14:textId="77777777" w:rsidR="00C17FCF" w:rsidRDefault="00C17FCF">
      <w:r>
        <w:separator/>
      </w:r>
    </w:p>
  </w:footnote>
  <w:footnote w:type="continuationSeparator" w:id="0">
    <w:p w14:paraId="3384E46A" w14:textId="77777777" w:rsidR="00C17FCF" w:rsidRDefault="00C1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825"/>
    <w:multiLevelType w:val="hybridMultilevel"/>
    <w:tmpl w:val="A76A2C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E36F33"/>
    <w:multiLevelType w:val="hybridMultilevel"/>
    <w:tmpl w:val="D4EE5542"/>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F03427"/>
    <w:multiLevelType w:val="hybridMultilevel"/>
    <w:tmpl w:val="F1F862AA"/>
    <w:lvl w:ilvl="0" w:tplc="0D68BD30">
      <w:start w:val="549"/>
      <w:numFmt w:val="bullet"/>
      <w:lvlText w:val="-"/>
      <w:lvlJc w:val="left"/>
      <w:pPr>
        <w:ind w:left="720" w:hanging="360"/>
      </w:pPr>
      <w:rPr>
        <w:rFonts w:ascii="Arial Narrow" w:eastAsia="Times New Roman"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54A26B2"/>
    <w:multiLevelType w:val="hybridMultilevel"/>
    <w:tmpl w:val="789E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B7333BE"/>
    <w:multiLevelType w:val="hybridMultilevel"/>
    <w:tmpl w:val="FE3A8D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6899493">
    <w:abstractNumId w:val="4"/>
  </w:num>
  <w:num w:numId="2" w16cid:durableId="25065990">
    <w:abstractNumId w:val="1"/>
  </w:num>
  <w:num w:numId="3" w16cid:durableId="116293147">
    <w:abstractNumId w:val="3"/>
  </w:num>
  <w:num w:numId="4" w16cid:durableId="1856069514">
    <w:abstractNumId w:val="8"/>
  </w:num>
  <w:num w:numId="5" w16cid:durableId="1827823450">
    <w:abstractNumId w:val="9"/>
  </w:num>
  <w:num w:numId="6" w16cid:durableId="436020802">
    <w:abstractNumId w:val="13"/>
  </w:num>
  <w:num w:numId="7" w16cid:durableId="1647779687">
    <w:abstractNumId w:val="5"/>
  </w:num>
  <w:num w:numId="8" w16cid:durableId="1501309054">
    <w:abstractNumId w:val="6"/>
  </w:num>
  <w:num w:numId="9" w16cid:durableId="1499692704">
    <w:abstractNumId w:val="12"/>
  </w:num>
  <w:num w:numId="10" w16cid:durableId="189533955">
    <w:abstractNumId w:val="2"/>
  </w:num>
  <w:num w:numId="11" w16cid:durableId="925115657">
    <w:abstractNumId w:val="10"/>
  </w:num>
  <w:num w:numId="12" w16cid:durableId="1360549482">
    <w:abstractNumId w:val="11"/>
  </w:num>
  <w:num w:numId="13" w16cid:durableId="917208965">
    <w:abstractNumId w:val="0"/>
  </w:num>
  <w:num w:numId="14" w16cid:durableId="1025133749">
    <w:abstractNumId w:val="7"/>
  </w:num>
  <w:num w:numId="15" w16cid:durableId="1882940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0F6B"/>
    <w:rsid w:val="000E25CE"/>
    <w:rsid w:val="000E2621"/>
    <w:rsid w:val="000E345A"/>
    <w:rsid w:val="000E3E11"/>
    <w:rsid w:val="000E459A"/>
    <w:rsid w:val="000E7533"/>
    <w:rsid w:val="000E7710"/>
    <w:rsid w:val="000E7AD4"/>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97B97"/>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2778"/>
    <w:rsid w:val="00246850"/>
    <w:rsid w:val="002509B1"/>
    <w:rsid w:val="002510B4"/>
    <w:rsid w:val="002527F4"/>
    <w:rsid w:val="00252DA4"/>
    <w:rsid w:val="0025658A"/>
    <w:rsid w:val="00260766"/>
    <w:rsid w:val="0026161B"/>
    <w:rsid w:val="00270061"/>
    <w:rsid w:val="00274EF7"/>
    <w:rsid w:val="00274F57"/>
    <w:rsid w:val="00281827"/>
    <w:rsid w:val="002819E1"/>
    <w:rsid w:val="002956EA"/>
    <w:rsid w:val="002A046F"/>
    <w:rsid w:val="002A177B"/>
    <w:rsid w:val="002A3DEA"/>
    <w:rsid w:val="002B7B55"/>
    <w:rsid w:val="002C71A8"/>
    <w:rsid w:val="002C7B4F"/>
    <w:rsid w:val="002D3A5E"/>
    <w:rsid w:val="002E04DD"/>
    <w:rsid w:val="002E76D6"/>
    <w:rsid w:val="002F0444"/>
    <w:rsid w:val="002F12A8"/>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4E08"/>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0AC0"/>
    <w:rsid w:val="0049147C"/>
    <w:rsid w:val="00497031"/>
    <w:rsid w:val="00497DA1"/>
    <w:rsid w:val="004A7B53"/>
    <w:rsid w:val="004B4495"/>
    <w:rsid w:val="004B6CAD"/>
    <w:rsid w:val="004D1974"/>
    <w:rsid w:val="004D4C3D"/>
    <w:rsid w:val="004E134A"/>
    <w:rsid w:val="004E1796"/>
    <w:rsid w:val="004E792A"/>
    <w:rsid w:val="004F0100"/>
    <w:rsid w:val="004F239B"/>
    <w:rsid w:val="004F2719"/>
    <w:rsid w:val="004F2C2B"/>
    <w:rsid w:val="004F526D"/>
    <w:rsid w:val="00500481"/>
    <w:rsid w:val="00500C1B"/>
    <w:rsid w:val="005030C1"/>
    <w:rsid w:val="005072BA"/>
    <w:rsid w:val="00511104"/>
    <w:rsid w:val="00513AFB"/>
    <w:rsid w:val="00517F65"/>
    <w:rsid w:val="0052604E"/>
    <w:rsid w:val="00526ADD"/>
    <w:rsid w:val="00527941"/>
    <w:rsid w:val="005303F5"/>
    <w:rsid w:val="005309C8"/>
    <w:rsid w:val="00531D7C"/>
    <w:rsid w:val="00531E2A"/>
    <w:rsid w:val="00532431"/>
    <w:rsid w:val="00533301"/>
    <w:rsid w:val="00540BEB"/>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C7DEA"/>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346E4"/>
    <w:rsid w:val="00634AFC"/>
    <w:rsid w:val="00644866"/>
    <w:rsid w:val="00650FD8"/>
    <w:rsid w:val="00652F73"/>
    <w:rsid w:val="00654911"/>
    <w:rsid w:val="00655021"/>
    <w:rsid w:val="00664BE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A5C01"/>
    <w:rsid w:val="006B0CFD"/>
    <w:rsid w:val="006B2581"/>
    <w:rsid w:val="006B5BB3"/>
    <w:rsid w:val="006C142A"/>
    <w:rsid w:val="006C1B1F"/>
    <w:rsid w:val="006C20CD"/>
    <w:rsid w:val="006C2A02"/>
    <w:rsid w:val="006C2B41"/>
    <w:rsid w:val="006C555A"/>
    <w:rsid w:val="006C69D9"/>
    <w:rsid w:val="006D29BF"/>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4213"/>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BF7AA3"/>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973"/>
    <w:rsid w:val="00DF6A0D"/>
    <w:rsid w:val="00E01835"/>
    <w:rsid w:val="00E031AA"/>
    <w:rsid w:val="00E1661F"/>
    <w:rsid w:val="00E2611A"/>
    <w:rsid w:val="00E30318"/>
    <w:rsid w:val="00E32E97"/>
    <w:rsid w:val="00E40B14"/>
    <w:rsid w:val="00E40BBC"/>
    <w:rsid w:val="00E436FF"/>
    <w:rsid w:val="00E44215"/>
    <w:rsid w:val="00E4519A"/>
    <w:rsid w:val="00E52B9D"/>
    <w:rsid w:val="00E53990"/>
    <w:rsid w:val="00E539CE"/>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2C63"/>
    <w:rsid w:val="00EA70A2"/>
    <w:rsid w:val="00EA796A"/>
    <w:rsid w:val="00EB32B2"/>
    <w:rsid w:val="00EB6AAC"/>
    <w:rsid w:val="00EC406D"/>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0CEF"/>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4B44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ousse.fr/encyclopedie/peinture/n%C3%A9o-plasticisme/153580" TargetMode="External"/><Relationship Id="rId13" Type="http://schemas.openxmlformats.org/officeDocument/2006/relationships/hyperlink" Target="https://universalis-rdl.proxy.collecto.ca/encyclopedie/art-abst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epompidou.fr/fr/ressources/oeuvre/0LxJOI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epompidou.fr/fr/ressources/oeuvre/cyn9RE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ntrepompidou.fr/fr/ressources/oeuvre/crgGkqd?fbclid=IwAR3xD5MpI2YXVj4B8t7yiRU-_Z6RKfiXMDzv-XQPAgpievUx2uwc5GX9XDc" TargetMode="External"/><Relationship Id="rId4" Type="http://schemas.openxmlformats.org/officeDocument/2006/relationships/settings" Target="settings.xml"/><Relationship Id="rId9" Type="http://schemas.openxmlformats.org/officeDocument/2006/relationships/hyperlink" Target="http://www.larousse.fr/encyclopedie/peinture/n%C3%A9o-plasticisme/15358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1819</Words>
  <Characters>10370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89</cp:revision>
  <cp:lastPrinted>2024-09-04T16:25:00Z</cp:lastPrinted>
  <dcterms:created xsi:type="dcterms:W3CDTF">2024-09-04T16:26:00Z</dcterms:created>
  <dcterms:modified xsi:type="dcterms:W3CDTF">2024-09-23T17:57:00Z</dcterms:modified>
  <cp:category/>
</cp:coreProperties>
</file>